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9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  <w:shd w:fill="E4E4E4" w:val="clear"/>
        </w:rPr>
        <w:t>UNITED STATES</w:t>
      </w:r>
    </w:p>
    <w:p>
      <w:pPr>
        <w:pStyle w:val="TextBody"/>
        <w:bidi w:val="0"/>
        <w:spacing w:lineRule="atLeast" w:line="19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  <w:shd w:fill="E4E4E4" w:val="clear"/>
        </w:rPr>
        <w:t>SECURITIES AND EXCHANGE COMMISSION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Washington, D.C. 20549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___________________________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 6-K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___________________________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REPORT OF FOREIGN PRIVATE ISSUER PURSUANT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SECTION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15d-</w:t>
      </w: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 xml:space="preserve">16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UNDER THE SECURITIES EXCHANGE ACT OF 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Date: For the month of October 2026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Commission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File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Number: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001-41912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___________________________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Ferrovial N.V.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Gustav Mahlerplein 61-63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Symphony Towers, 14</w:t>
      </w:r>
      <w:r>
        <w:rPr>
          <w:rFonts w:ascii="Times New Roman;serif" w:hAnsi="Times New Roman;serif"/>
          <w:b/>
          <w:i w:val="false"/>
          <w:caps w:val="false"/>
          <w:smallCaps w:val="false"/>
          <w:sz w:val="13"/>
          <w:shd w:fill="E4E4E4" w:val="clear"/>
        </w:rPr>
        <w:t>th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Floor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1082 MS Amsterdam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The Netherlands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Tel: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+31 20798 37 02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(Address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principal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executive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office)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Indicate by check mark whether the registrant files or will file annual reports under cover of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Form 20-F or Form 40-F.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Form 20-F 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☒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Form 40-F </w:t>
      </w:r>
      <w:r>
        <w:rPr>
          <w:rFonts w:ascii="Arial;sans-serif" w:hAnsi="Arial;sans-serif"/>
          <w:caps w:val="false"/>
          <w:smallCaps w:val="false"/>
          <w:shd w:fill="E4E4E4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EXPLANATORY NOTE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57325" cy="908685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908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7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Ferrovial N.V. is submitting this current report on Form 6-K to announce the third quarter 2026 earnings release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date.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Attached to this current report on Form 6-K is: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(1) a press release dated October 15, 2026 as Exhibit 99.1.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EXHIBIT INDEX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SIGNATURES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543675" cy="921385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9213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37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091"/>
                              <w:gridCol w:w="109"/>
                              <w:gridCol w:w="9176"/>
                            </w:tblGrid>
                            <w:tr>
                              <w:trPr/>
                              <w:tc>
                                <w:tcPr>
                                  <w:tcW w:w="10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9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09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6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99.1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7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5.25pt;height:72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037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091"/>
                        <w:gridCol w:w="109"/>
                        <w:gridCol w:w="9176"/>
                      </w:tblGrid>
                      <w:tr>
                        <w:trPr/>
                        <w:tc>
                          <w:tcPr>
                            <w:tcW w:w="10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9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7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09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99.1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7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28650" cy="35052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Exhibit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No.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5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Exhibit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No.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5743575" cy="175260"/>
                <wp:effectExtent l="0" t="0" r="0" b="0"/>
                <wp:wrapNone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6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Description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2.25pt;height:13.8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6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Description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Pursuant to the requirements of the Securities Exchange Act of 1934, as amended, the registrant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has duly caused this report to be signed on its behalf by the undersigned, thereunto duly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authorized.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Ferrovial N.V.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Date: October 15, 2026                                                                                      </w:t>
      </w:r>
    </w:p>
    <w:p>
      <w:pPr>
        <w:pStyle w:val="TextBody"/>
        <w:bidi w:val="0"/>
        <w:spacing w:lineRule="atLeast" w:line="166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 xml:space="preserve">By: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u w:val="single"/>
          <w:shd w:fill="E4E4E4" w:val="clear"/>
        </w:rPr>
        <w:t xml:space="preserve">/s/ Ernesto López Mozo 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Ernesto López Mozo</w:t>
      </w:r>
    </w:p>
    <w:p>
      <w:pPr>
        <w:pStyle w:val="TextBody"/>
        <w:bidi w:val="0"/>
        <w:spacing w:lineRule="atLeast" w:line="166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  <w:shd w:fill="E4E4E4" w:val="clear"/>
        </w:rPr>
        <w:t>Chief Financial Officer</w:t>
      </w:r>
    </w:p>
    <w:p>
      <w:pPr>
        <w:pStyle w:val="TextBody"/>
        <w:bidi w:val="0"/>
        <w:spacing w:before="0" w:after="0"/>
        <w:jc w:val="center"/>
        <w:rPr/>
      </w:pPr>
      <w:bookmarkStart w:id="0" w:name="a20269manunciofechaprese.htm"/>
      <w:bookmarkStart w:id="1" w:name="ksa20269manunciofechaprese"/>
      <w:bookmarkEnd w:id="0"/>
      <w:bookmarkEnd w:id="1"/>
      <w:r>
        <w:rPr/>
        <w:drawing>
          <wp:inline distT="0" distB="0" distL="0" distR="0">
            <wp:extent cx="9191625" cy="13001625"/>
            <wp:effectExtent l="0" t="0" r="0" b="0"/>
            <wp:docPr id="5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FERROVIAL N.V. (“FERROVIAL” OR THE “COMPANY”) ANNOUNCES THE THIRD QUARTER 2026 EARNINGS RELEASE DATE Amsterdam, 15 October 2026. Ferrovial (Ticker: “FER”) will release its operating results for the third quarter of 2026 on Tuesday, 27 October 2026, after the U.S. market closes. The Company’s management team will host a conference call to present these results on Wednesday, 28 October 2026, at 3:00pm CET (10:00am EDT). The event may be attended via webcast or conference call. Access codes will be made available on the Company’s Investor Relations website (https://www.ferrovial.com/en/ir-shareholders/). For further inquiries, please contact the Investor Relations Department via email at ir@ferrovial.com or by phone at +34 91 586 25 65 (Spain), +31 20 798 3700 (the Netherlands) or +1 347 931 4242 (US).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325</Words>
  <Characters>1834</Characters>
  <CharactersWithSpaces>2212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a20269manunciofechaprese</dc:title>
</cp:coreProperties>
</file>