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0"/>
        <w:jc w:val="left"/>
        <w:rPr>
          <w:rFonts w:ascii="Times New Roman;serif" w:hAnsi="Times New Roman;serif"/>
          <w:b w:val="false"/>
          <w:i w:val="false"/>
          <w:caps w:val="false"/>
          <w:smallCaps w:val="false"/>
          <w:strike w:val="false"/>
          <w:dstrike w:val="false"/>
          <w:sz w:val="32"/>
          <w:u w:val="none"/>
          <w:effect w:val="none"/>
        </w:rPr>
      </w:pPr>
      <w:r>
        <w:rPr>
          <w:rFonts w:ascii="Times New Roman;serif" w:hAnsi="Times New Roman;serif"/>
          <w:b w:val="false"/>
          <w:i w:val="false"/>
          <w:caps w:val="false"/>
          <w:smallCaps w:val="false"/>
          <w:strike w:val="false"/>
          <w:dstrike w:val="false"/>
          <w:sz w:val="32"/>
          <w:u w:val="none"/>
          <w:effect w:val="none"/>
        </w:rPr>
        <w:t>UNITED STATES</w:t>
      </w:r>
    </w:p>
    <w:p>
      <w:pPr>
        <w:pStyle w:val="TextBody"/>
        <w:bidi w:val="0"/>
        <w:spacing w:lineRule="atLeast" w:line="320" w:before="0" w:after="0"/>
        <w:jc w:val="left"/>
        <w:rPr>
          <w:rFonts w:ascii="Times New Roman;serif" w:hAnsi="Times New Roman;serif"/>
          <w:b w:val="false"/>
          <w:i w:val="false"/>
          <w:caps w:val="false"/>
          <w:smallCaps w:val="false"/>
          <w:strike w:val="false"/>
          <w:dstrike w:val="false"/>
          <w:sz w:val="32"/>
          <w:u w:val="none"/>
          <w:effect w:val="none"/>
        </w:rPr>
      </w:pPr>
      <w:r>
        <w:rPr>
          <w:rFonts w:ascii="Times New Roman;serif" w:hAnsi="Times New Roman;serif"/>
          <w:b w:val="false"/>
          <w:i w:val="false"/>
          <w:caps w:val="false"/>
          <w:smallCaps w:val="false"/>
          <w:strike w:val="false"/>
          <w:dstrike w:val="false"/>
          <w:sz w:val="32"/>
          <w:u w:val="none"/>
          <w:effect w:val="none"/>
        </w:rPr>
        <w:t>SECURITIES AND EXCHANGE COMMISSION</w:t>
      </w:r>
    </w:p>
    <w:p>
      <w:pPr>
        <w:pStyle w:val="TextBody"/>
        <w:bidi w:val="0"/>
        <w:spacing w:lineRule="atLeast" w:line="240" w:before="0" w:after="0"/>
        <w:jc w:val="left"/>
        <w:rPr>
          <w:rFonts w:ascii="Times New Roman;serif" w:hAnsi="Times New Roman;serif"/>
          <w:b w:val="false"/>
          <w:i w:val="false"/>
          <w:caps w:val="false"/>
          <w:smallCaps w:val="false"/>
          <w:strike w:val="false"/>
          <w:dstrike w:val="false"/>
          <w:sz w:val="24"/>
          <w:u w:val="none"/>
          <w:effect w:val="none"/>
        </w:rPr>
      </w:pPr>
      <w:r>
        <w:rPr>
          <w:rFonts w:ascii="Times New Roman;serif" w:hAnsi="Times New Roman;serif"/>
          <w:b w:val="false"/>
          <w:i w:val="false"/>
          <w:caps w:val="false"/>
          <w:smallCaps w:val="false"/>
          <w:strike w:val="false"/>
          <w:dstrike w:val="false"/>
          <w:sz w:val="24"/>
          <w:u w:val="none"/>
          <w:effect w:val="none"/>
        </w:rPr>
        <w:t>Washington, D.C. 20549</w:t>
      </w:r>
    </w:p>
    <w:p>
      <w:pPr>
        <w:pStyle w:val="TextBody"/>
        <w:bidi w:val="0"/>
        <w:spacing w:lineRule="atLeast" w:line="240" w:before="0" w:after="0"/>
        <w:jc w:val="left"/>
        <w:rPr>
          <w:caps w:val="false"/>
          <w:smallCaps w:val="false"/>
        </w:rPr>
      </w:pPr>
      <w:r>
        <w:rPr>
          <w:caps w:val="false"/>
          <w:smallCaps w:val="false"/>
        </w:rPr>
        <w:t xml:space="preserve">                                                                  </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FORM 20-F/A</w:t>
      </w:r>
    </w:p>
    <w:p>
      <w:pPr>
        <w:pStyle w:val="TextBody"/>
        <w:bidi w:val="0"/>
        <w:spacing w:lineRule="atLeast" w:line="240" w:before="0" w:after="0"/>
        <w:jc w:val="left"/>
        <w:rPr>
          <w:rFonts w:ascii="Arial;sans-serif" w:hAnsi="Arial;sans-serif"/>
          <w:b w:val="false"/>
          <w:i w:val="false"/>
          <w:caps w:val="false"/>
          <w:smallCaps w:val="false"/>
          <w:strike w:val="false"/>
          <w:dstrike w:val="false"/>
          <w:sz w:val="24"/>
          <w:u w:val="none"/>
          <w:effect w:val="none"/>
        </w:rPr>
      </w:pPr>
      <w:r>
        <w:rPr>
          <w:rFonts w:ascii="Arial;sans-serif" w:hAnsi="Arial;sans-serif"/>
          <w:b w:val="false"/>
          <w:i w:val="false"/>
          <w:caps w:val="false"/>
          <w:smallCaps w:val="false"/>
          <w:strike w:val="false"/>
          <w:dstrike w:val="false"/>
          <w:sz w:val="24"/>
          <w:u w:val="none"/>
          <w:effect w:val="none"/>
        </w:rPr>
        <w:t>(Amendment No.1)</w:t>
      </w:r>
    </w:p>
    <w:p>
      <w:pPr>
        <w:pStyle w:val="TextBody"/>
        <w:bidi w:val="0"/>
        <w:spacing w:lineRule="atLeast" w:line="240" w:before="0" w:after="0"/>
        <w:jc w:val="left"/>
        <w:rPr/>
      </w:pPr>
      <w:r>
        <w:rPr>
          <w:caps w:val="false"/>
          <w:smallCaps w:val="false"/>
        </w:rPr>
        <w:t xml:space="preserve">      </w:t>
      </w:r>
      <w:r>
        <w:rPr>
          <w:rFonts w:ascii="Times New Roman;serif" w:hAnsi="Times New Roman;serif"/>
          <w:b/>
          <w:i w:val="false"/>
          <w:caps w:val="false"/>
          <w:smallCaps w:val="false"/>
          <w:strike w:val="false"/>
          <w:dstrike w:val="false"/>
          <w:sz w:val="18"/>
          <w:u w:val="none"/>
          <w:effect w:val="none"/>
        </w:rPr>
        <w:t>(Mark One)</w:t>
      </w:r>
    </w:p>
    <w:p>
      <w:pPr>
        <w:pStyle w:val="TextBody"/>
        <w:bidi w:val="0"/>
        <w:spacing w:lineRule="atLeast" w:line="180" w:before="0" w:after="0"/>
        <w:jc w:val="left"/>
        <w:rPr/>
      </w:pPr>
      <w:r>
        <w:rPr>
          <w:caps w:val="false"/>
          <w:smallCaps w:val="false"/>
          <w:strike w:val="false"/>
          <w:dstrike w:val="false"/>
          <w:u w:val="none"/>
          <w:effect w:val="none"/>
        </w:rPr>
        <w:t>  ☐</w:t>
      </w:r>
      <w:r>
        <w:rPr>
          <w:rFonts w:ascii="Times New Roman;serif" w:hAnsi="Times New Roman;serif"/>
          <w:b w:val="false"/>
          <w:i w:val="false"/>
          <w:caps w:val="false"/>
          <w:smallCaps w:val="false"/>
          <w:strike w:val="false"/>
          <w:dstrike w:val="false"/>
          <w:sz w:val="18"/>
          <w:u w:val="none"/>
          <w:effect w:val="none"/>
        </w:rPr>
        <w:t xml:space="preserve">REGISTRATION STATEMENT PURSUANT TO SECTION 12(b) OR 12(g) OF THE SECURITIES EXCHANGE ACT OF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1934</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OR</w:t>
      </w:r>
    </w:p>
    <w:p>
      <w:pPr>
        <w:pStyle w:val="TextBody"/>
        <w:bidi w:val="0"/>
        <w:spacing w:lineRule="atLeast" w:line="180" w:before="0" w:after="0"/>
        <w:jc w:val="left"/>
        <w:rPr/>
      </w:pPr>
      <w:r>
        <w:rPr>
          <w:caps w:val="false"/>
          <w:smallCaps w:val="false"/>
          <w:strike w:val="false"/>
          <w:dstrike w:val="false"/>
          <w:color w:val="231F20"/>
          <w:u w:val="none"/>
          <w:effect w:val="none"/>
        </w:rPr>
        <w:t>☒</w:t>
      </w:r>
      <w:r>
        <w:rPr>
          <w:rFonts w:ascii="Times New Roman;serif" w:hAnsi="Times New Roman;serif"/>
          <w:b w:val="false"/>
          <w:i w:val="false"/>
          <w:caps w:val="false"/>
          <w:smallCaps w:val="false"/>
          <w:strike w:val="false"/>
          <w:dstrike w:val="false"/>
          <w:sz w:val="18"/>
          <w:u w:val="none"/>
          <w:effect w:val="none"/>
        </w:rPr>
        <w:t>ANNUAL REPORT PURSUANT TO SECTION 13 OR 15(d) OF THE SECURITIES EXCHANGE ACT OF 1934</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For the fiscal year ended December 31, 2025</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OR</w:t>
      </w:r>
    </w:p>
    <w:p>
      <w:pPr>
        <w:pStyle w:val="TextBody"/>
        <w:bidi w:val="0"/>
        <w:spacing w:lineRule="atLeast" w:line="18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18"/>
          <w:u w:val="none"/>
          <w:effect w:val="none"/>
        </w:rPr>
        <w:t>TRANSITION REPORT PURSUANT TO SECTION 13 OR 15(d) OF THE SECURITIES EXCHANGE ACT OF 1934</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color w:val="231F20"/>
          <w:sz w:val="16"/>
          <w:u w:val="none"/>
          <w:effect w:val="none"/>
        </w:rPr>
      </w:pPr>
      <w:r>
        <w:rPr>
          <w:rFonts w:ascii="Times New Roman;serif" w:hAnsi="Times New Roman;serif"/>
          <w:b w:val="false"/>
          <w:i w:val="false"/>
          <w:caps w:val="false"/>
          <w:smallCaps w:val="false"/>
          <w:strike w:val="false"/>
          <w:dstrike w:val="false"/>
          <w:color w:val="231F20"/>
          <w:sz w:val="16"/>
          <w:u w:val="none"/>
          <w:effect w:val="none"/>
        </w:rPr>
        <w:t>OR</w:t>
      </w:r>
    </w:p>
    <w:p>
      <w:pPr>
        <w:pStyle w:val="TextBody"/>
        <w:bidi w:val="0"/>
        <w:spacing w:lineRule="atLeast" w:line="18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18"/>
          <w:u w:val="none"/>
          <w:effect w:val="none"/>
        </w:rPr>
        <w:t>SHELL COMPANY REPORT PURSUANT TO SECTION 13 OR 15(d) OF THE SECURITIES EXCHANGE ACT OF 1934</w:t>
      </w:r>
    </w:p>
    <w:p>
      <w:pPr>
        <w:pStyle w:val="TextBody"/>
        <w:bidi w:val="0"/>
        <w:spacing w:lineRule="atLeast" w:line="18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180" w:before="0" w:after="0"/>
        <w:jc w:val="left"/>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18"/>
          <w:u w:val="none"/>
          <w:effect w:val="none"/>
        </w:rPr>
        <w:t>Commission file number        001-41912</w:t>
      </w:r>
    </w:p>
    <w:p>
      <w:pPr>
        <w:pStyle w:val="TextBody"/>
        <w:bidi w:val="0"/>
        <w:spacing w:lineRule="atLeast" w:line="240" w:before="0" w:after="0"/>
        <w:jc w:val="left"/>
        <w:rPr>
          <w:caps w:val="false"/>
          <w:smallCaps w:val="false"/>
        </w:rPr>
      </w:pPr>
      <w:r>
        <w:rPr>
          <w:caps w:val="false"/>
          <w:smallCaps w:val="false"/>
        </w:rPr>
        <w:t xml:space="preserve">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Times New Roman;serif" w:hAnsi="Times New Roman;serif"/>
          <w:b/>
          <w:i w:val="false"/>
          <w:caps w:val="false"/>
          <w:smallCaps w:val="false"/>
          <w:strike w:val="false"/>
          <w:dstrike w:val="false"/>
          <w:sz w:val="28"/>
          <w:u w:val="none"/>
          <w:effect w:val="none"/>
        </w:rPr>
      </w:pPr>
      <w:r>
        <w:rPr>
          <w:rFonts w:ascii="Times New Roman;serif" w:hAnsi="Times New Roman;serif"/>
          <w:b/>
          <w:i w:val="false"/>
          <w:caps w:val="false"/>
          <w:smallCaps w:val="false"/>
          <w:strike w:val="false"/>
          <w:dstrike w:val="false"/>
          <w:sz w:val="28"/>
          <w:u w:val="none"/>
          <w:effect w:val="none"/>
        </w:rPr>
        <w:t>Ferrovial N.V.</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(Exact name of Registrant as specified in its charter)</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The Netherlands</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(Jurisdiction of incorporation or organization)</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Gustav Mahlerplein 61-63 Symphony Towers, 14th Floor</w:t>
      </w:r>
    </w:p>
    <w:p>
      <w:pPr>
        <w:pStyle w:val="TextBody"/>
        <w:bidi w:val="0"/>
        <w:spacing w:lineRule="atLeast" w:line="160" w:before="0" w:after="0"/>
        <w:jc w:val="left"/>
        <w:rPr>
          <w:sz w:val="24"/>
        </w:rPr>
      </w:pPr>
      <w:r>
        <w:rPr>
          <w:rFonts w:ascii="Times New Roman;serif" w:hAnsi="Times New Roman;serif"/>
          <w:b/>
          <w:i w:val="false"/>
          <w:caps w:val="false"/>
          <w:smallCaps w:val="false"/>
          <w:strike w:val="false"/>
          <w:dstrike w:val="false"/>
          <w:sz w:val="16"/>
          <w:u w:val="none"/>
          <w:effect w:val="none"/>
        </w:rPr>
        <w:t>1082 MS</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16"/>
          <w:u w:val="none"/>
          <w:effect w:val="none"/>
        </w:rPr>
        <w:t>Amsterdam</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The Netherlands</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(Address of principal executive offices)</w:t>
      </w:r>
    </w:p>
    <w:p>
      <w:pPr>
        <w:pStyle w:val="TextBody"/>
        <w:bidi w:val="0"/>
        <w:spacing w:lineRule="atLeast" w:line="150" w:before="0" w:after="0"/>
        <w:jc w:val="left"/>
        <w:rPr>
          <w:rFonts w:ascii="Arial;sans-serif" w:hAnsi="Arial;sans-serif"/>
          <w:b w:val="false"/>
          <w:i w:val="false"/>
          <w:caps w:val="false"/>
          <w:smallCaps w:val="false"/>
          <w:strike w:val="false"/>
          <w:dstrike w:val="false"/>
          <w:sz w:val="15"/>
          <w:u w:val="none"/>
          <w:effect w:val="none"/>
        </w:rPr>
      </w:pPr>
      <w:r>
        <w:rPr>
          <w:rFonts w:ascii="Arial;sans-serif" w:hAnsi="Arial;sans-serif"/>
          <w:b w:val="false"/>
          <w:i w:val="false"/>
          <w:caps w:val="false"/>
          <w:smallCaps w:val="false"/>
          <w:strike w:val="false"/>
          <w:dstrike w:val="false"/>
          <w:sz w:val="15"/>
          <w:u w:val="none"/>
          <w:effect w:val="none"/>
        </w:rPr>
        <w:t>I</w:t>
      </w:r>
    </w:p>
    <w:p>
      <w:pPr>
        <w:pStyle w:val="TextBody"/>
        <w:bidi w:val="0"/>
        <w:spacing w:lineRule="atLeast" w:line="160" w:before="0" w:after="0"/>
        <w:jc w:val="left"/>
        <w:rPr>
          <w:sz w:val="24"/>
        </w:rPr>
      </w:pPr>
      <w:r>
        <w:rPr>
          <w:rFonts w:ascii="Times New Roman;serif" w:hAnsi="Times New Roman;serif"/>
          <w:b/>
          <w:i w:val="false"/>
          <w:caps w:val="false"/>
          <w:smallCaps w:val="false"/>
          <w:strike w:val="false"/>
          <w:dstrike w:val="false"/>
          <w:sz w:val="16"/>
          <w:u w:val="none"/>
          <w:effect w:val="none"/>
        </w:rPr>
        <w:t>Ignacio Madridejos</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Chief Executive Officer</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Gustav Mahlerplein 61-63 Symphony Towers, 14th Floor</w:t>
      </w:r>
    </w:p>
    <w:p>
      <w:pPr>
        <w:pStyle w:val="TextBody"/>
        <w:bidi w:val="0"/>
        <w:spacing w:lineRule="atLeast" w:line="160" w:before="0" w:after="0"/>
        <w:jc w:val="left"/>
        <w:rPr>
          <w:sz w:val="24"/>
        </w:rPr>
      </w:pPr>
      <w:r>
        <w:rPr>
          <w:rFonts w:ascii="Times New Roman;serif" w:hAnsi="Times New Roman;serif"/>
          <w:b/>
          <w:i w:val="false"/>
          <w:caps w:val="false"/>
          <w:smallCaps w:val="false"/>
          <w:strike w:val="false"/>
          <w:dstrike w:val="false"/>
          <w:sz w:val="16"/>
          <w:u w:val="none"/>
          <w:effect w:val="none"/>
        </w:rPr>
        <w:t>1082 MS</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16"/>
          <w:u w:val="none"/>
          <w:effect w:val="none"/>
        </w:rPr>
        <w:t>Amsterdam</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The Netherlands</w:t>
      </w:r>
    </w:p>
    <w:p>
      <w:pPr>
        <w:pStyle w:val="TextBody"/>
        <w:bidi w:val="0"/>
        <w:spacing w:lineRule="atLeast" w:line="160" w:before="0" w:after="0"/>
        <w:jc w:val="left"/>
        <w:rPr>
          <w:sz w:val="24"/>
        </w:rPr>
      </w:pPr>
      <w:r>
        <w:rPr>
          <w:rFonts w:ascii="Times New Roman;serif" w:hAnsi="Times New Roman;serif"/>
          <w:b/>
          <w:i w:val="false"/>
          <w:caps w:val="false"/>
          <w:smallCaps w:val="false"/>
          <w:strike w:val="false"/>
          <w:dstrike w:val="false"/>
          <w:sz w:val="16"/>
          <w:u w:val="none"/>
          <w:effect w:val="none"/>
        </w:rPr>
        <w:t>Telephone: +31 20</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16"/>
          <w:u w:val="none"/>
          <w:effect w:val="none"/>
        </w:rPr>
        <w:t>798 3700</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Investor Relations</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ir@ferrovial.com</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Príncipe de Vergara, 135</w:t>
      </w:r>
    </w:p>
    <w:p>
      <w:pPr>
        <w:pStyle w:val="TextBody"/>
        <w:bidi w:val="0"/>
        <w:spacing w:lineRule="atLeast" w:line="160" w:before="0" w:after="0"/>
        <w:jc w:val="left"/>
        <w:rPr>
          <w:sz w:val="24"/>
        </w:rPr>
      </w:pPr>
      <w:r>
        <w:rPr>
          <w:rFonts w:ascii="Times New Roman;serif" w:hAnsi="Times New Roman;serif"/>
          <w:b/>
          <w:i w:val="false"/>
          <w:caps w:val="false"/>
          <w:smallCaps w:val="false"/>
          <w:strike w:val="false"/>
          <w:dstrike w:val="false"/>
          <w:sz w:val="16"/>
          <w:u w:val="none"/>
          <w:effect w:val="none"/>
        </w:rPr>
        <w:t>28002</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16"/>
          <w:u w:val="none"/>
          <w:effect w:val="none"/>
        </w:rPr>
        <w:t>Madrid</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Spain</w:t>
      </w:r>
    </w:p>
    <w:p>
      <w:pPr>
        <w:pStyle w:val="TextBody"/>
        <w:bidi w:val="0"/>
        <w:spacing w:lineRule="atLeast" w:line="160" w:before="0" w:after="0"/>
        <w:jc w:val="left"/>
        <w:rPr>
          <w:sz w:val="24"/>
        </w:rPr>
      </w:pPr>
      <w:r>
        <w:rPr>
          <w:rFonts w:ascii="Times New Roman;serif" w:hAnsi="Times New Roman;serif"/>
          <w:b/>
          <w:i w:val="false"/>
          <w:caps w:val="false"/>
          <w:smallCaps w:val="false"/>
          <w:strike w:val="false"/>
          <w:dstrike w:val="false"/>
          <w:sz w:val="16"/>
          <w:u w:val="none"/>
          <w:effect w:val="none"/>
        </w:rPr>
        <w:t>Telephone: +34 91</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16"/>
          <w:u w:val="none"/>
          <w:effect w:val="none"/>
        </w:rPr>
        <w:t>586 2736</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(Name, Telephone, Email and/or Facsimile number and Address of Company Contact Person)</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Securities registered or to be registered, pursuant to Section 12(b) of the Act.</w:t>
      </w:r>
    </w:p>
    <w:tbl>
      <w:tblPr>
        <w:tblW w:w="7706" w:type="dxa"/>
        <w:jc w:val="left"/>
        <w:tblInd w:w="0" w:type="dxa"/>
        <w:tblLayout w:type="fixed"/>
        <w:tblCellMar>
          <w:top w:w="28" w:type="dxa"/>
          <w:left w:w="28" w:type="dxa"/>
          <w:bottom w:w="28" w:type="dxa"/>
          <w:right w:w="28" w:type="dxa"/>
        </w:tblCellMar>
      </w:tblPr>
      <w:tblGrid>
        <w:gridCol w:w="2716"/>
        <w:gridCol w:w="109"/>
        <w:gridCol w:w="1456"/>
        <w:gridCol w:w="109"/>
        <w:gridCol w:w="3316"/>
      </w:tblGrid>
      <w:tr>
        <w:trPr/>
        <w:tc>
          <w:tcPr>
            <w:tcW w:w="2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716" w:type="dxa"/>
            <w:tcBorders>
              <w:bottom w:val="single" w:sz="4" w:space="0" w:color="231F2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4" w:space="0" w:color="231F2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bottom w:val="single" w:sz="4" w:space="0" w:color="231F2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Name of each exchange on which registered</w:t>
            </w:r>
          </w:p>
        </w:tc>
      </w:tr>
      <w:tr>
        <w:trPr/>
        <w:tc>
          <w:tcPr>
            <w:tcW w:w="2716" w:type="dxa"/>
            <w:tcBorders>
              <w:top w:val="single" w:sz="4" w:space="0" w:color="231F2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Ordinary shares, par value EUR 0.01 per share</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4" w:space="0" w:color="231F2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FER</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top w:val="single" w:sz="4" w:space="0" w:color="231F2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Nasdaq Global Select Market</w:t>
            </w:r>
          </w:p>
        </w:tc>
      </w:tr>
    </w:tbl>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Securities registered or to be registered pursuant to Section 12(g) of the Act: None</w:t>
      </w:r>
    </w:p>
    <w:p>
      <w:pPr>
        <w:pStyle w:val="TextBody"/>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4"/>
          <w:u w:val="none"/>
          <w:effect w:val="none"/>
        </w:rPr>
        <w:t>Securities for which there is a reporting obligation pursuant to Section 15(d)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4"/>
          <w:u w:val="none"/>
          <w:effect w:val="none"/>
        </w:rPr>
        <w:t>of the Act: None</w:t>
      </w:r>
    </w:p>
    <w:p>
      <w:pPr>
        <w:pStyle w:val="TextBody"/>
        <w:bidi w:val="0"/>
        <w:spacing w:lineRule="atLeast" w:line="142" w:before="0" w:after="0"/>
        <w:jc w:val="both"/>
        <w:rPr>
          <w:sz w:val="24"/>
          <w:u w:val="single"/>
        </w:rPr>
      </w:pPr>
      <w:r>
        <w:rPr>
          <w:rFonts w:ascii="Times New Roman;serif" w:hAnsi="Times New Roman;serif"/>
          <w:b w:val="false"/>
          <w:i w:val="false"/>
          <w:caps w:val="false"/>
          <w:smallCaps w:val="false"/>
          <w:strike w:val="false"/>
          <w:dstrike w:val="false"/>
          <w:sz w:val="14"/>
          <w:u w:val="none"/>
          <w:effect w:val="none"/>
        </w:rPr>
        <w:t xml:space="preserve">Indicate the number of outstanding shares of each of the issuer’s classes of capital stock or common stock as of the close of the period covered by the annual report: </w:t>
      </w:r>
      <w:r>
        <w:rPr>
          <w:rFonts w:ascii="Times New Roman;serif" w:hAnsi="Times New Roman;serif"/>
          <w:b w:val="false"/>
          <w:i w:val="false"/>
          <w:caps w:val="false"/>
          <w:smallCaps w:val="false"/>
          <w:strike w:val="false"/>
          <w:dstrike w:val="false"/>
          <w:sz w:val="14"/>
          <w:u w:val="none"/>
          <w:effect w:val="none"/>
          <w:shd w:fill="FFFFFF" w:val="clear"/>
        </w:rPr>
        <w:t>As of December 31, 2025,</w:t>
      </w:r>
      <w:r>
        <w:rPr>
          <w:caps w:val="false"/>
          <w:smallCaps w:val="false"/>
          <w:strike w:val="false"/>
          <w:dstrike w:val="false"/>
          <w:sz w:val="24"/>
          <w:u w:val="none"/>
          <w:effect w:val="none"/>
          <w:shd w:fill="FFFFFF" w:val="clear"/>
        </w:rPr>
        <w:t xml:space="preserve"> </w:t>
      </w:r>
    </w:p>
    <w:p>
      <w:pPr>
        <w:pStyle w:val="TextBody"/>
        <w:bidi w:val="0"/>
        <w:spacing w:lineRule="atLeast" w:line="142" w:before="0" w:after="0"/>
        <w:jc w:val="both"/>
        <w:rPr>
          <w:sz w:val="24"/>
          <w:u w:val="single"/>
        </w:rPr>
      </w:pPr>
      <w:r>
        <w:rPr>
          <w:rFonts w:ascii="Times New Roman;serif" w:hAnsi="Times New Roman;serif"/>
          <w:b w:val="false"/>
          <w:i w:val="false"/>
          <w:caps w:val="false"/>
          <w:smallCaps w:val="false"/>
          <w:strike w:val="false"/>
          <w:dstrike w:val="false"/>
          <w:sz w:val="14"/>
          <w:u w:val="none"/>
          <w:effect w:val="none"/>
          <w:shd w:fill="FFFFFF" w:val="clear"/>
        </w:rPr>
        <w:t xml:space="preserve">the registrant had </w:t>
      </w:r>
      <w:r>
        <w:rPr>
          <w:rFonts w:ascii="Times New Roman;serif" w:hAnsi="Times New Roman;serif"/>
          <w:b w:val="false"/>
          <w:i w:val="false"/>
          <w:caps w:val="false"/>
          <w:smallCaps w:val="false"/>
          <w:strike w:val="false"/>
          <w:dstrike w:val="false"/>
          <w:sz w:val="14"/>
          <w:u w:val="none"/>
          <w:effect w:val="none"/>
        </w:rPr>
        <w:t>720,626,181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4"/>
          <w:u w:val="none"/>
          <w:effect w:val="none"/>
        </w:rPr>
        <w:t>ordinary shares outsta</w:t>
      </w:r>
      <w:r>
        <w:rPr>
          <w:rFonts w:ascii="Times New Roman;serif" w:hAnsi="Times New Roman;serif"/>
          <w:b w:val="false"/>
          <w:i w:val="false"/>
          <w:caps w:val="false"/>
          <w:smallCaps w:val="false"/>
          <w:strike w:val="false"/>
          <w:dstrike w:val="false"/>
          <w:sz w:val="14"/>
          <w:u w:val="none"/>
          <w:effect w:val="none"/>
          <w:shd w:fill="FFFFFF" w:val="clear"/>
        </w:rPr>
        <w:t>nding.</w:t>
      </w:r>
      <w:r>
        <w:rPr>
          <w:caps w:val="false"/>
          <w:smallCaps w:val="false"/>
          <w:strike w:val="false"/>
          <w:dstrike w:val="false"/>
          <w:sz w:val="24"/>
          <w:u w:val="none"/>
          <w:effect w:val="none"/>
          <w:shd w:fill="FFFFFF" w:val="clear"/>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Indicate by check mark if the registrant is a well-known seasoned issuer, as defined in Rule 405 of the Securities Act.</w:t>
      </w:r>
    </w:p>
    <w:p>
      <w:pPr>
        <w:pStyle w:val="TextBody"/>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4"/>
          <w:u w:val="none"/>
          <w:effect w:val="none"/>
        </w:rPr>
        <w:t>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4"/>
          <w:u w:val="none"/>
          <w:effect w:val="none"/>
        </w:rPr>
        <w:t>No</w:t>
      </w:r>
      <w:r>
        <w:rPr>
          <w:caps w:val="false"/>
          <w:smallCaps w:val="false"/>
          <w:strike w:val="false"/>
          <w:dstrike w:val="false"/>
          <w:sz w:val="24"/>
          <w:u w:val="none"/>
          <w:effect w:val="none"/>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If this report is an annual or transition report, indicate by check mark if the registrant is not required to file reports pursuant to Section 13 or 15(d) of the Securities Exchange Act of 1934.</w:t>
      </w:r>
    </w:p>
    <w:p>
      <w:pPr>
        <w:pStyle w:val="TextBody"/>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4"/>
          <w:u w:val="none"/>
          <w:effect w:val="none"/>
        </w:rPr>
        <w:t>Yes ☐  No</w:t>
      </w:r>
      <w:r>
        <w:rPr>
          <w:caps w:val="false"/>
          <w:smallCaps w:val="false"/>
          <w:strike w:val="false"/>
          <w:dstrike w:val="false"/>
          <w:sz w:val="24"/>
          <w:u w:val="none"/>
          <w:effect w:val="none"/>
        </w:rPr>
        <w:t xml:space="preserve"> ☒</w:t>
      </w:r>
    </w:p>
    <w:p>
      <w:pPr>
        <w:pStyle w:val="TextBody"/>
        <w:bidi w:val="0"/>
        <w:spacing w:lineRule="atLeast" w:line="142" w:before="0" w:after="0"/>
        <w:jc w:val="both"/>
        <w:rPr>
          <w:u w:val="single"/>
        </w:rPr>
      </w:pPr>
      <w:r>
        <w:rPr>
          <w:rFonts w:ascii="Times New Roman;serif" w:hAnsi="Times New Roman;serif"/>
          <w:b w:val="false"/>
          <w:i w:val="false"/>
          <w:caps w:val="false"/>
          <w:smallCaps w:val="false"/>
          <w:strike w:val="false"/>
          <w:dstrike w:val="false"/>
          <w:sz w:val="14"/>
          <w:u w:val="none"/>
          <w:effect w:val="none"/>
        </w:rPr>
        <w:t>Indicate by check mark whether the registrant (1) has filed all reports required to be filed by Section 13 or 15(d) of the Securities Exchange Act of 1934 during the preceding 12 months (or for</w:t>
      </w:r>
      <w:r>
        <w:rPr>
          <w:caps w:val="false"/>
          <w:smallCaps w:val="false"/>
          <w:strike w:val="false"/>
          <w:dstrike w:val="false"/>
          <w:u w:val="none"/>
          <w:effect w:val="none"/>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such shorter period that the registrant was required to file such reports), and (2) has been subject to such filing requirements for the past 90 days.</w:t>
      </w:r>
    </w:p>
    <w:p>
      <w:pPr>
        <w:pStyle w:val="TextBody"/>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4"/>
          <w:u w:val="none"/>
          <w:effect w:val="none"/>
        </w:rPr>
        <w:t>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4"/>
          <w:u w:val="none"/>
          <w:effect w:val="none"/>
        </w:rPr>
        <w:t>No</w:t>
      </w:r>
      <w:r>
        <w:rPr>
          <w:caps w:val="false"/>
          <w:smallCaps w:val="false"/>
          <w:strike w:val="false"/>
          <w:dstrike w:val="false"/>
          <w:sz w:val="24"/>
          <w:u w:val="none"/>
          <w:effect w:val="none"/>
        </w:rPr>
        <w:t xml:space="preserve"> ☐</w:t>
      </w:r>
    </w:p>
    <w:p>
      <w:pPr>
        <w:pStyle w:val="TextBody"/>
        <w:bidi w:val="0"/>
        <w:spacing w:lineRule="atLeast" w:line="142" w:before="0" w:after="0"/>
        <w:jc w:val="both"/>
        <w:rPr>
          <w:u w:val="single"/>
        </w:rPr>
      </w:pPr>
      <w:r>
        <w:rPr>
          <w:rFonts w:ascii="Times New Roman;serif" w:hAnsi="Times New Roman;serif"/>
          <w:b w:val="false"/>
          <w:i w:val="false"/>
          <w:caps w:val="false"/>
          <w:smallCaps w:val="false"/>
          <w:strike w:val="false"/>
          <w:dstrike w:val="false"/>
          <w:sz w:val="14"/>
          <w:u w:val="none"/>
          <w:effect w:val="none"/>
        </w:rPr>
        <w:t>Indicate by check mark whether the registrant has submitted electronically every Interactive Data File required to be submitted pursuant to Rule 405 of Regulation S-T (§ 232.405 of this</w:t>
      </w:r>
      <w:r>
        <w:rPr>
          <w:caps w:val="false"/>
          <w:smallCaps w:val="false"/>
          <w:strike w:val="false"/>
          <w:dstrike w:val="false"/>
          <w:u w:val="none"/>
          <w:effect w:val="none"/>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chapter) during the preceding 12 months (or for such shorter period that the registrant was required to submit such files).</w:t>
      </w:r>
    </w:p>
    <w:p>
      <w:pPr>
        <w:pStyle w:val="TextBody"/>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4"/>
          <w:u w:val="none"/>
          <w:effect w:val="none"/>
        </w:rPr>
        <w:t>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4"/>
          <w:u w:val="none"/>
          <w:effect w:val="none"/>
        </w:rPr>
        <w:t>No</w:t>
      </w:r>
      <w:r>
        <w:rPr>
          <w:caps w:val="false"/>
          <w:smallCaps w:val="false"/>
          <w:strike w:val="false"/>
          <w:dstrike w:val="false"/>
          <w:sz w:val="24"/>
          <w:u w:val="none"/>
          <w:effect w:val="none"/>
        </w:rPr>
        <w:t xml:space="preserve"> ☐</w:t>
      </w:r>
    </w:p>
    <w:p>
      <w:pPr>
        <w:pStyle w:val="TextBody"/>
        <w:bidi w:val="0"/>
        <w:spacing w:lineRule="atLeast" w:line="142" w:before="0" w:after="0"/>
        <w:jc w:val="both"/>
        <w:rPr>
          <w:u w:val="single"/>
        </w:rPr>
      </w:pPr>
      <w:r>
        <w:rPr>
          <w:rFonts w:ascii="Times New Roman;serif" w:hAnsi="Times New Roman;serif"/>
          <w:b w:val="false"/>
          <w:i w:val="false"/>
          <w:caps w:val="false"/>
          <w:smallCaps w:val="false"/>
          <w:strike w:val="false"/>
          <w:dstrike w:val="false"/>
          <w:sz w:val="14"/>
          <w:u w:val="none"/>
          <w:effect w:val="none"/>
        </w:rPr>
        <w:t>Indicate by check mark whether the registrant is a large accelerated filer, an accelerated filer, a non-accelerated filer, or an emerging growth company. See the definitions of “large accelerated</w:t>
      </w:r>
      <w:r>
        <w:rPr>
          <w:caps w:val="false"/>
          <w:smallCaps w:val="false"/>
          <w:strike w:val="false"/>
          <w:dstrike w:val="false"/>
          <w:u w:val="none"/>
          <w:effect w:val="none"/>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filer,” “accelerated filer,” and “emerging growth company” in Rule 12b-2 of the Exchange Act.</w:t>
      </w:r>
    </w:p>
    <w:p>
      <w:pPr>
        <w:pStyle w:val="TextBody"/>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4"/>
          <w:u w:val="none"/>
          <w:effect w:val="none"/>
        </w:rPr>
        <w:t>Large accelerated filer</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4"/>
          <w:u w:val="none"/>
          <w:effect w:val="none"/>
        </w:rPr>
        <w:t>Accelerated filer ☐ Non-accelerated filer</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4"/>
          <w:u w:val="none"/>
          <w:effect w:val="none"/>
        </w:rPr>
        <w:t xml:space="preserve">Emerging growth company </w:t>
      </w:r>
      <w:r>
        <w:rPr>
          <w:caps w:val="false"/>
          <w:smallCaps w:val="false"/>
          <w:strike w:val="false"/>
          <w:dstrike w:val="false"/>
          <w:sz w:val="24"/>
          <w:u w:val="none"/>
          <w:effect w:val="none"/>
        </w:rPr>
        <w:t xml:space="preserve">☐  </w:t>
      </w:r>
    </w:p>
    <w:p>
      <w:pPr>
        <w:pStyle w:val="TextBody"/>
        <w:bidi w:val="0"/>
        <w:spacing w:lineRule="atLeast" w:line="142" w:before="0" w:after="0"/>
        <w:jc w:val="both"/>
        <w:rPr>
          <w:u w:val="single"/>
        </w:rPr>
      </w:pPr>
      <w:r>
        <w:rPr>
          <w:rFonts w:ascii="Times New Roman;serif" w:hAnsi="Times New Roman;serif"/>
          <w:b w:val="false"/>
          <w:i w:val="false"/>
          <w:caps w:val="false"/>
          <w:smallCaps w:val="false"/>
          <w:strike w:val="false"/>
          <w:dstrike w:val="false"/>
          <w:sz w:val="14"/>
          <w:u w:val="none"/>
          <w:effect w:val="none"/>
        </w:rPr>
        <w:t>If an emerging growth company that prepares its financial statements in accordance with U.S. GAAP, indicate by check mark if the registrant has elected not to use the extended transition</w:t>
      </w:r>
      <w:r>
        <w:rPr>
          <w:caps w:val="false"/>
          <w:smallCaps w:val="false"/>
          <w:strike w:val="false"/>
          <w:dstrike w:val="false"/>
          <w:u w:val="none"/>
          <w:effect w:val="none"/>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period for complying with any new or revised financial accounting standards† provided pursuant to Section 13(a) of the Exchange Act. ☐</w:t>
      </w:r>
    </w:p>
    <w:p>
      <w:pPr>
        <w:pStyle w:val="TextBody"/>
        <w:bidi w:val="0"/>
        <w:spacing w:lineRule="atLeast" w:line="142" w:before="0" w:after="0"/>
        <w:jc w:val="both"/>
        <w:rPr>
          <w:u w:val="single"/>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14"/>
          <w:u w:val="none"/>
          <w:effect w:val="none"/>
        </w:rPr>
        <w:t>The term “new or revised financial accounting standard” refers to any update issued by the Financial Accounting Standards Board to its Accounting Standards Codification after April 5,</w:t>
      </w:r>
      <w:r>
        <w:rPr>
          <w:caps w:val="false"/>
          <w:smallCaps w:val="false"/>
          <w:strike w:val="false"/>
          <w:dstrike w:val="false"/>
          <w:u w:val="none"/>
          <w:effect w:val="none"/>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2012.</w:t>
      </w:r>
    </w:p>
    <w:p>
      <w:pPr>
        <w:pStyle w:val="TextBody"/>
        <w:bidi w:val="0"/>
        <w:spacing w:lineRule="atLeast" w:line="142" w:before="0" w:after="0"/>
        <w:jc w:val="both"/>
        <w:rPr>
          <w:u w:val="single"/>
        </w:rPr>
      </w:pPr>
      <w:r>
        <w:rPr>
          <w:rFonts w:ascii="Times New Roman;serif" w:hAnsi="Times New Roman;serif"/>
          <w:b w:val="false"/>
          <w:i w:val="false"/>
          <w:caps w:val="false"/>
          <w:smallCaps w:val="false"/>
          <w:strike w:val="false"/>
          <w:dstrike w:val="false"/>
          <w:sz w:val="14"/>
          <w:u w:val="none"/>
          <w:effect w:val="none"/>
        </w:rPr>
        <w:t>Indicate by check mark whether the registrant has filed a report on and attestation to its management’s assessment of the effectiveness of its internal control over financial reporting under</w:t>
      </w:r>
      <w:r>
        <w:rPr>
          <w:caps w:val="false"/>
          <w:smallCaps w:val="false"/>
          <w:strike w:val="false"/>
          <w:dstrike w:val="false"/>
          <w:u w:val="none"/>
          <w:effect w:val="none"/>
        </w:rPr>
        <w:t xml:space="preserve"> </w:t>
      </w:r>
    </w:p>
    <w:p>
      <w:pPr>
        <w:pStyle w:val="TextBody"/>
        <w:bidi w:val="0"/>
        <w:spacing w:lineRule="atLeast" w:line="142" w:before="0" w:after="0"/>
        <w:jc w:val="both"/>
        <w:rPr>
          <w:sz w:val="24"/>
          <w:u w:val="single"/>
        </w:rPr>
      </w:pPr>
      <w:r>
        <w:rPr>
          <w:rFonts w:ascii="Times New Roman;serif" w:hAnsi="Times New Roman;serif"/>
          <w:b w:val="false"/>
          <w:i w:val="false"/>
          <w:caps w:val="false"/>
          <w:smallCaps w:val="false"/>
          <w:strike w:val="false"/>
          <w:dstrike w:val="false"/>
          <w:sz w:val="14"/>
          <w:u w:val="none"/>
          <w:effect w:val="none"/>
        </w:rPr>
        <w:t xml:space="preserve">Section  404(b) of the Sarbanes-Oxley Act (15 U.S.C. 7262(b)) by  the registered public accounting firm that prepared or issued its audit report. </w:t>
      </w:r>
      <w:r>
        <w:rPr>
          <w:caps w:val="false"/>
          <w:smallCaps w:val="false"/>
          <w:strike w:val="false"/>
          <w:dstrike w:val="false"/>
          <w:sz w:val="24"/>
          <w:u w:val="none"/>
          <w:effect w:val="none"/>
        </w:rPr>
        <w:t>☒</w:t>
      </w:r>
    </w:p>
    <w:p>
      <w:pPr>
        <w:pStyle w:val="TextBody"/>
        <w:bidi w:val="0"/>
        <w:spacing w:lineRule="atLeast" w:line="142" w:before="0" w:after="0"/>
        <w:jc w:val="both"/>
        <w:rPr>
          <w:u w:val="single"/>
        </w:rPr>
      </w:pPr>
      <w:r>
        <w:rPr>
          <w:rFonts w:ascii="Times New Roman;serif" w:hAnsi="Times New Roman;serif"/>
          <w:b w:val="false"/>
          <w:i w:val="false"/>
          <w:caps w:val="false"/>
          <w:smallCaps w:val="false"/>
          <w:strike w:val="false"/>
          <w:dstrike w:val="false"/>
          <w:sz w:val="14"/>
          <w:u w:val="none"/>
          <w:effect w:val="none"/>
        </w:rPr>
        <w:t>If securities are registered pursuant to Section 12(b) of the Act, indicate by check mark whether the financial statements of the registrant included in the filing reflect the correction of an error</w:t>
      </w:r>
      <w:r>
        <w:rPr>
          <w:caps w:val="false"/>
          <w:smallCaps w:val="false"/>
          <w:strike w:val="false"/>
          <w:dstrike w:val="false"/>
          <w:u w:val="none"/>
          <w:effect w:val="none"/>
        </w:rPr>
        <w:t xml:space="preserve"> </w:t>
      </w:r>
    </w:p>
    <w:p>
      <w:pPr>
        <w:pStyle w:val="TextBody"/>
        <w:bidi w:val="0"/>
        <w:spacing w:lineRule="atLeast" w:line="142" w:before="0" w:after="0"/>
        <w:jc w:val="both"/>
        <w:rPr>
          <w:sz w:val="24"/>
          <w:u w:val="single"/>
        </w:rPr>
      </w:pPr>
      <w:r>
        <w:rPr>
          <w:rFonts w:ascii="Times New Roman;serif" w:hAnsi="Times New Roman;serif"/>
          <w:b w:val="false"/>
          <w:i w:val="false"/>
          <w:caps w:val="false"/>
          <w:smallCaps w:val="false"/>
          <w:strike w:val="false"/>
          <w:dstrike w:val="false"/>
          <w:sz w:val="14"/>
          <w:u w:val="none"/>
          <w:effect w:val="none"/>
        </w:rPr>
        <w:t xml:space="preserve">to previously issued financial statements. </w:t>
      </w:r>
      <w:r>
        <w:rPr>
          <w:caps w:val="false"/>
          <w:smallCaps w:val="false"/>
          <w:strike w:val="false"/>
          <w:dstrike w:val="false"/>
          <w:sz w:val="24"/>
          <w:u w:val="none"/>
          <w:effect w:val="none"/>
        </w:rPr>
        <w:t>☐</w:t>
      </w:r>
    </w:p>
    <w:p>
      <w:pPr>
        <w:pStyle w:val="TextBody"/>
        <w:bidi w:val="0"/>
        <w:spacing w:lineRule="atLeast" w:line="142" w:before="0" w:after="0"/>
        <w:jc w:val="both"/>
        <w:rPr>
          <w:u w:val="single"/>
        </w:rPr>
      </w:pPr>
      <w:r>
        <w:rPr>
          <w:rFonts w:ascii="Times New Roman;serif" w:hAnsi="Times New Roman;serif"/>
          <w:b w:val="false"/>
          <w:i w:val="false"/>
          <w:caps w:val="false"/>
          <w:smallCaps w:val="false"/>
          <w:strike w:val="false"/>
          <w:dstrike w:val="false"/>
          <w:sz w:val="14"/>
          <w:u w:val="none"/>
          <w:effect w:val="none"/>
        </w:rPr>
        <w:t>Indicate by check mark whether any of those error corrections are restatements that required a recovery analysis of incentive-based compensation received by any of the registrant’s executive</w:t>
      </w:r>
      <w:r>
        <w:rPr>
          <w:caps w:val="false"/>
          <w:smallCaps w:val="false"/>
          <w:strike w:val="false"/>
          <w:dstrike w:val="false"/>
          <w:u w:val="none"/>
          <w:effect w:val="none"/>
        </w:rPr>
        <w:t xml:space="preserve">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officers during the relevant recovery period pursuant to §240.10D-1(b).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Indicate by check mark which basis of accounting the registrant has used to prepare the financial statements included in this filing:</w:t>
      </w:r>
    </w:p>
    <w:p>
      <w:pPr>
        <w:pStyle w:val="TextBody"/>
        <w:bidi w:val="0"/>
        <w:spacing w:lineRule="atLeast" w:line="142" w:before="0" w:after="0"/>
        <w:jc w:val="left"/>
        <w:rPr/>
      </w:pPr>
      <w:r>
        <w:rPr>
          <w:caps w:val="false"/>
          <w:smallCaps w:val="false"/>
          <w:strike w:val="false"/>
          <w:dstrike w:val="false"/>
          <w:color w:val="231F20"/>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U.S.</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GAAP☒ International</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Financial</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Reporting</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Standards</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as</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issued</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by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the</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International</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Accounting</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Standards</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14"/>
          <w:u w:val="none"/>
          <w:effect w:val="none"/>
        </w:rPr>
        <w:t>Board☐  Other</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If “Other” has been checked in response to the previous question indicate by check mark which financial statement item the registrant has elected to follow.</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Item 17  ☐Item 18  ☐</w:t>
      </w:r>
    </w:p>
    <w:p>
      <w:pPr>
        <w:pStyle w:val="TextBody"/>
        <w:bidi w:val="0"/>
        <w:spacing w:lineRule="atLeast" w:line="142" w:before="0" w:after="0"/>
        <w:jc w:val="both"/>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If this is an annual report, indicate by check mark whether the registrant is a shell company (as defined in Rule 12b-2 of the Exchange Act).</w:t>
      </w:r>
    </w:p>
    <w:p>
      <w:pPr>
        <w:pStyle w:val="TextBody"/>
        <w:bidi w:val="0"/>
        <w:spacing w:lineRule="atLeast" w:line="142" w:before="0" w:after="0"/>
        <w:jc w:val="left"/>
        <w:rPr>
          <w:sz w:val="24"/>
        </w:rPr>
      </w:pPr>
      <w:r>
        <w:rPr>
          <w:rFonts w:ascii="Times New Roman;serif" w:hAnsi="Times New Roman;serif"/>
          <w:b w:val="false"/>
          <w:i w:val="false"/>
          <w:caps w:val="false"/>
          <w:smallCaps w:val="false"/>
          <w:strike w:val="false"/>
          <w:dstrike w:val="false"/>
          <w:sz w:val="14"/>
          <w:u w:val="none"/>
          <w:effect w:val="none"/>
        </w:rPr>
        <w:t xml:space="preserve">Yes ☐  No  </w:t>
      </w:r>
      <w:r>
        <w:rPr>
          <w:caps w:val="false"/>
          <w:smallCaps w:val="false"/>
          <w:strike w:val="false"/>
          <w:dstrike w:val="false"/>
          <w:sz w:val="24"/>
          <w:u w:val="none"/>
          <w:effect w:val="none"/>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EXPLANATORY NOTE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This Amendment No. 1 on Form 20-F/A (the “Amendment”) is filed by Ferrovial N.V. (formerly Ferrovial SE)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Company”) to amend the Company’s Annual Report on Form 20-F for the fiscal year ended December 31, 2025,</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originally filed with the U.S. Securities and Exchange Commission on February 25, 2026 (the “Original Filing”).</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Company is filing this Amendment on a voluntary basis to include in the section “5.A.7.2 Geographic</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Information”  a breakdown by countries of Ferrovial’s assets for the year ended December 31, 2025. This Amendment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does not impact the Company’s financial position for the periods presented in the Original Filing and is solely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intended to provide more detailed information about this matter. This Amendment does not impact the financial</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 of the Company included in the Original Filing.</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connection with the filing of this Amendment, the Company is including certifications of the Company’s Chief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Executive Officer and Chief Financial Officer pursuant to Rule 13a-14(a) or Rule 15d-14(a) of the Securities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Exchange Act of 1934, as amended. Because no financial statements have been included in this Amendment and this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Amendment does not contain or amend any disclosure with respect to Item 15 of Form 20-F, paragraphs 4 and 5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such certifications have been omitted. Because no financial statements have been included in this Amendment,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Company is not including certifications pursuant to Section 1350 of Chapter 63 of Title 18 of the United States Code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(18 U.S.C. 1350) (Section 906 of the Sarbanes-Oxley Act of 2002).</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Except as described above, this Amendment does not amend, update or change any other items or disclosures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Original Filing and does not purport to reflect any information or events subsequent to the date of the Original Filing.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As such, this Amendment speaks only as of the date the Original Filing was filed, and we have not undertaken herein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to amend, supplement or update any information contained in the Original Filing to give effect to any subsequent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events. No changes have been made to the financial statements of the Company as contained in the Original Filing.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Accordingly, this Amendment should be read together with the Original Filing and the Company’s other filings with</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SEC following the Original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5. OPERATING AND FINANCIAL REVIEW AND PROSPECTS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following discussion of our financial condition and results of operations should be read in conjunction with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Financial Statements, including the related notes thereto, included elsewhere in this Annual Report. The following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discussion contains forward-looking statements that involve risks and uncertainties. Our actual results may differ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materially from those discussed in the forward-looking statements as a result of various factors, including those set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forth in “</w:t>
      </w:r>
      <w:r>
        <w:rPr>
          <w:rFonts w:ascii="Times New Roman;serif" w:hAnsi="Times New Roman;serif"/>
          <w:b w:val="false"/>
          <w:i/>
          <w:strike w:val="false"/>
          <w:dstrike w:val="false"/>
          <w:sz w:val="20"/>
          <w:u w:val="none"/>
          <w:effect w:val="none"/>
        </w:rPr>
        <w:t>Cautionary Statement Regarding Forward-Looking Statements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w:t>
      </w:r>
      <w:r>
        <w:rPr>
          <w:rFonts w:ascii="Times New Roman;serif" w:hAnsi="Times New Roman;serif"/>
          <w:b w:val="false"/>
          <w:i/>
          <w:strike w:val="false"/>
          <w:dstrike w:val="false"/>
          <w:sz w:val="20"/>
          <w:u w:val="none"/>
          <w:effect w:val="none"/>
        </w:rPr>
        <w:t>Item 3. Key Information—D. Risk</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Factors.</w:t>
      </w:r>
      <w:r>
        <w:rPr>
          <w:caps w:val="false"/>
          <w:smallCaps w:val="false"/>
          <w:strike w:val="false"/>
          <w:dstrike w:val="false"/>
          <w:u w:val="none"/>
          <w:effect w:val="none"/>
        </w:rPr>
        <w:t>”</w:t>
      </w:r>
      <w:r>
        <w:rPr>
          <w:caps w:val="false"/>
          <w:smallCaps w:val="false"/>
          <w:strike w:val="false"/>
          <w:dstrike w:val="false"/>
          <w:color w:val="231F20"/>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5.AOperating Results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5.A.1Overview</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are one of the world’s leading infrastructure groups in terms of construction revenue, focusing our operations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across highways, airports, construction and energy. For an overview of our activities, see “</w:t>
      </w:r>
      <w:r>
        <w:rPr>
          <w:rFonts w:ascii="Times New Roman;serif" w:hAnsi="Times New Roman;serif"/>
          <w:b w:val="false"/>
          <w:i/>
          <w:strike w:val="false"/>
          <w:dstrike w:val="false"/>
          <w:sz w:val="20"/>
          <w:u w:val="none"/>
          <w:effect w:val="none"/>
        </w:rPr>
        <w:t>Item 4. Information on the</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Company—B. Business Overview.</w:t>
      </w:r>
      <w:r>
        <w:rPr>
          <w:caps w:val="false"/>
          <w:smallCaps w:val="false"/>
          <w:strike w:val="false"/>
          <w:dstrike w:val="false"/>
          <w:u w:val="none"/>
          <w:effect w:val="none"/>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5.A.1.1Description of segments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undertake our activities through the following four operating divisions, or lines of business, which also correspond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our reporting segments (the Business Divisions) under IFRS 8:</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Highways: Our activities in the Highways Business Division include the development, financing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operation of toll road projects. We conduct our operations in this Business Division through Cintra, a wholly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owned subsidiary of the Company, and mainly operate in Canada through 407 ETR, in the United States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through the Managed Lanes located in Texas, Virginia’s I-66 and North Carolina’s I-77, as well as in India,</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through IRB and Private InvIT.</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Airports: Our activities in the Airports Business Division include the development, investing and financing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of airports. We participate in the airport industry principally through the NTO consortium, established to</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design, build and operate the NTO at JFK Airport in New York, and our indirect holding in YDA Turkey.</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Construction: Our activities in the Construction Business Division include the design and execution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various public and private works, with an emphasis on public infrastructures, with over 90 years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experience in the industry. We conduct our construction activities through our main business lines: Ferrovial</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Construction, Budimex and Webber.</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Energy: Our activities in this Business Division mainly consist of the development, financing and operation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of power transmission lines and renewable energy generation plants, and the execution of construction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projects in the energy sector.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We use the “other” category to reflect results for companies </w:t>
      </w:r>
      <w:r>
        <w:rPr>
          <w:rFonts w:ascii="Times New Roman;serif" w:hAnsi="Times New Roman;serif"/>
          <w:b w:val="false"/>
          <w:i w:val="false"/>
          <w:caps w:val="false"/>
          <w:smallCaps w:val="false"/>
          <w:strike w:val="false"/>
          <w:dstrike w:val="false"/>
          <w:sz w:val="20"/>
          <w:u w:val="none"/>
          <w:effect w:val="none"/>
          <w:shd w:fill="FFFFFF" w:val="clear"/>
        </w:rPr>
        <w:t>not assigned to any Business Division, the most</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significant being Ferrovial N.V., the Group’s parent company, the business line Ferrovial Digital Infrastructure, which</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was created in 2024, and the waste management plants in the United Kingdom.</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5.A.2Material Factors Affecting Results of Operations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results of operations and financial condition are affected by a variety of factors, a number of which are outside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control. Set out below is a discussion of the most significant factors that have affected our financial results during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periods under review and which we currently expect to affect our financial results in the future. Factors other than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those set forth below could also have a significant impact on our results of operations and financial condition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future (see “</w:t>
      </w:r>
      <w:r>
        <w:rPr>
          <w:rFonts w:ascii="Times New Roman;serif" w:hAnsi="Times New Roman;serif"/>
          <w:b w:val="false"/>
          <w:i/>
          <w:strike w:val="false"/>
          <w:dstrike w:val="false"/>
          <w:sz w:val="20"/>
          <w:u w:val="none"/>
          <w:effect w:val="none"/>
        </w:rPr>
        <w:t>Item 3. Key Information—D. Risk Factors</w:t>
      </w: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5.A.2.1Inflationary pressures and energy and commodity prices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are exposed to inflationary pressures as well as the impact of energy and commodity prices, which have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past, and may in future have, varying effects on our Business Divisions. In the Construction Business Division,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inflationary pressures typically have a negative effect on our costs base through increases in costs of materials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consumed, particularly cement, concrete, steel rebars and bitumen (or asphalt), energy costs and an increase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personnel expenses.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the Construction Business Division, we have two key mechanisms in place in an effort to mitigate the effects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inflationary pressures: through direct claims to our customers or, where possible, through the use of price adjustment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mechanisms, which are included in some of our agreements. Such pass-through mechanisms may be more common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some jurisdictions, such as, for example, Spain, Canada and Poland, than others, such as the United States, where they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are not frequently used. However, due to particular contractual provisions or otherwise, we may not always be able to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effectively pass through the costs to our customers. Thus, we may remain subject to market risk with respect to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inflationary pressures and increases in commodity prices. No such inflation-related material impacts have occurred for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last two years within the Construction Business Division.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the Highways Business Division, our assets are either linked to the inflation index, allowing us to regularly update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toll rates based on the latest economic situation, or can be freely set. Thus, inflationary increases typically have a</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strong positive impact on the Highways Business Division’s revenues.  Rising fuel prices, on the other hand, tend to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adversely impact traffic levels, particularly if work from home  arrangements are more common or increase. This,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turn, may have a negative effect on the Highways Business Division’s traffic and consequently revenues. Additionally,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the Airports Business Division, the airlines may pass any increases in fuel prices on to their customers through</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increases in the prices of flights, which could lead to decline demand for air travel and reduce use and demand in</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 of our Airports Business Division.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5.A.2.2Foreign exchange rates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functional currency is the euro. However, we operate internationally and hold assets, incur liabilities, generate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revenues and pay expenses in a variety of currencies other than the euro. As a result, our results of operations are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affected by exchange rate fluctuations between the euro and other currencies in which we conduct and plan to continue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conducting transactions. We are particularly exposed to the U.S. dollar, Canadian dollar, Indian rupee, Polish zloty,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pound sterling and the Australian dollar. For example, in 2025, such currencies led to translation differences of EUR</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(434)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net of the effect of foreign currency hedging instruments, led by depreciation of the Canadian dollar,</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U.S. dollar, and the Indian Rupee, against the euro.</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For information on our foreign exchange fluctuations management see </w:t>
      </w:r>
      <w:r>
        <w:rPr>
          <w:strike w:val="false"/>
          <w:dstrike w:val="false"/>
          <w:u w:val="none"/>
          <w:effect w:val="none"/>
        </w:rPr>
        <w:t>“—</w:t>
      </w:r>
      <w:r>
        <w:rPr>
          <w:rFonts w:ascii="Times New Roman;serif" w:hAnsi="Times New Roman;serif"/>
          <w:b w:val="false"/>
          <w:i/>
          <w:strike w:val="false"/>
          <w:dstrike w:val="false"/>
          <w:sz w:val="20"/>
          <w:u w:val="none"/>
          <w:effect w:val="none"/>
        </w:rPr>
        <w:t>3. Factors Affecting Comparability of Our</w:t>
      </w:r>
      <w:r>
        <w:rPr>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Results of Operations — 2. Financial Risk Management — Exposure to foreign exchange fluctuations”.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5.A.2.3Traffic performance</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The table below presents the highways traffic volume in the period under review.</w:t>
      </w:r>
    </w:p>
    <w:tbl>
      <w:tblPr>
        <w:tblW w:w="9152" w:type="dxa"/>
        <w:jc w:val="left"/>
        <w:tblInd w:w="0" w:type="dxa"/>
        <w:tblLayout w:type="fixed"/>
        <w:tblCellMar>
          <w:top w:w="28" w:type="dxa"/>
          <w:left w:w="28" w:type="dxa"/>
          <w:bottom w:w="28" w:type="dxa"/>
          <w:right w:w="28" w:type="dxa"/>
        </w:tblCellMar>
      </w:tblPr>
      <w:tblGrid>
        <w:gridCol w:w="5701"/>
        <w:gridCol w:w="766"/>
        <w:gridCol w:w="1286"/>
        <w:gridCol w:w="1399"/>
      </w:tblGrid>
      <w:tr>
        <w:trPr/>
        <w:tc>
          <w:tcPr>
            <w:tcW w:w="57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570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Toll Road</w:t>
            </w:r>
          </w:p>
        </w:tc>
        <w:tc>
          <w:tcPr>
            <w:tcW w:w="76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Country</w:t>
            </w:r>
          </w:p>
        </w:tc>
        <w:tc>
          <w:tcPr>
            <w:tcW w:w="2685"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For the year ended December</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18"/>
                <w:u w:val="none"/>
                <w:effect w:val="none"/>
              </w:rPr>
              <w:t>31,</w:t>
            </w:r>
          </w:p>
        </w:tc>
      </w:tr>
      <w:tr>
        <w:trPr/>
        <w:tc>
          <w:tcPr>
            <w:tcW w:w="6467"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39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6467" w:type="dxa"/>
            <w:gridSpan w:val="2"/>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Fully consolidated assets </w:t>
            </w:r>
            <w:r>
              <w:rPr>
                <w:rFonts w:ascii="Times New Roman;serif" w:hAnsi="Times New Roman;serif"/>
                <w:b w:val="false"/>
                <w:i w:val="false"/>
                <w:caps w:val="false"/>
                <w:smallCaps w:val="false"/>
                <w:strike w:val="false"/>
                <w:dstrike w:val="false"/>
                <w:sz w:val="18"/>
                <w:u w:val="none"/>
                <w:effect w:val="none"/>
              </w:rPr>
              <w:t>(in millions of transactions)</w:t>
            </w:r>
          </w:p>
        </w:tc>
        <w:tc>
          <w:tcPr>
            <w:tcW w:w="1286" w:type="dxa"/>
            <w:tcBorders>
              <w:top w:val="single" w:sz="4" w:space="0" w:color="000000"/>
              <w:bottom w:val="single" w:sz="4" w:space="0" w:color="231F2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9" w:type="dxa"/>
            <w:tcBorders>
              <w:top w:val="single" w:sz="4" w:space="0" w:color="000000"/>
              <w:bottom w:val="single" w:sz="4" w:space="0" w:color="231F2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01"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NTE 1-2</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766"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U.S.</w:t>
            </w:r>
          </w:p>
        </w:tc>
        <w:tc>
          <w:tcPr>
            <w:tcW w:w="1286"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w:t>
            </w:r>
          </w:p>
        </w:tc>
        <w:tc>
          <w:tcPr>
            <w:tcW w:w="1399"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r>
      <w:tr>
        <w:trPr/>
        <w:tc>
          <w:tcPr>
            <w:tcW w:w="570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LBJ</w:t>
            </w:r>
            <w:r>
              <w:rPr>
                <w:rFonts w:ascii="Times New Roman;serif" w:hAnsi="Times New Roman;serif"/>
                <w:b w:val="false"/>
                <w:i w:val="false"/>
                <w:caps w:val="false"/>
                <w:smallCaps w:val="false"/>
                <w:strike w:val="false"/>
                <w:dstrike w:val="false"/>
                <w:color w:val="B4B4B4"/>
                <w:sz w:val="18"/>
                <w:u w:val="none"/>
                <w:effect w:val="none"/>
              </w:rPr>
              <w:t>....................................................................................................................</w:t>
            </w:r>
          </w:p>
        </w:tc>
        <w:tc>
          <w:tcPr>
            <w:tcW w:w="76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U.S.</w:t>
            </w:r>
          </w:p>
        </w:tc>
        <w:tc>
          <w:tcPr>
            <w:tcW w:w="12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w:t>
            </w:r>
          </w:p>
        </w:tc>
        <w:tc>
          <w:tcPr>
            <w:tcW w:w="139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w:t>
            </w:r>
          </w:p>
        </w:tc>
      </w:tr>
      <w:tr>
        <w:trPr/>
        <w:tc>
          <w:tcPr>
            <w:tcW w:w="570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NTE 35W</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76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U.S.</w:t>
            </w:r>
          </w:p>
        </w:tc>
        <w:tc>
          <w:tcPr>
            <w:tcW w:w="12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52</w:t>
            </w:r>
          </w:p>
        </w:tc>
        <w:tc>
          <w:tcPr>
            <w:tcW w:w="139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w:t>
            </w:r>
          </w:p>
        </w:tc>
      </w:tr>
      <w:tr>
        <w:trPr/>
        <w:tc>
          <w:tcPr>
            <w:tcW w:w="570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I-77</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76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U.S.</w:t>
            </w:r>
          </w:p>
        </w:tc>
        <w:tc>
          <w:tcPr>
            <w:tcW w:w="12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w:t>
            </w:r>
          </w:p>
        </w:tc>
        <w:tc>
          <w:tcPr>
            <w:tcW w:w="139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w:t>
            </w:r>
          </w:p>
        </w:tc>
      </w:tr>
      <w:tr>
        <w:trPr/>
        <w:tc>
          <w:tcPr>
            <w:tcW w:w="570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I-66</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76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U.S.</w:t>
            </w:r>
          </w:p>
        </w:tc>
        <w:tc>
          <w:tcPr>
            <w:tcW w:w="12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w:t>
            </w:r>
          </w:p>
        </w:tc>
        <w:tc>
          <w:tcPr>
            <w:tcW w:w="139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w:t>
            </w:r>
          </w:p>
        </w:tc>
      </w:tr>
      <w:tr>
        <w:trPr/>
        <w:tc>
          <w:tcPr>
            <w:tcW w:w="6467" w:type="dxa"/>
            <w:gridSpan w:val="2"/>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Equity-accounted assets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18"/>
                <w:u w:val="none"/>
                <w:effect w:val="none"/>
              </w:rPr>
              <w:t>(in millions of VKT, vehicle kilometers travelled)</w:t>
            </w:r>
          </w:p>
        </w:tc>
        <w:tc>
          <w:tcPr>
            <w:tcW w:w="1286" w:type="dxa"/>
            <w:tcBorders>
              <w:bottom w:val="single" w:sz="4" w:space="0" w:color="231F2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9" w:type="dxa"/>
            <w:tcBorders>
              <w:bottom w:val="single" w:sz="4" w:space="0" w:color="231F2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701"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407 ETR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76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Canada</w:t>
            </w:r>
          </w:p>
        </w:tc>
        <w:tc>
          <w:tcPr>
            <w:tcW w:w="1286"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2,819</w:t>
            </w:r>
          </w:p>
        </w:tc>
        <w:tc>
          <w:tcPr>
            <w:tcW w:w="1399"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2,658</w:t>
            </w:r>
          </w:p>
        </w:tc>
      </w:tr>
    </w:tbl>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2025, the Highways Business Division experienced growth, primarily attributed to a general  increase in mobility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across the areas where we operate our main concessions, with the traffic on  407 ETR and the  U.S Managed Lanes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showing consistent growth, except for NTE and I-77. Regarding NTE, the traffic decrease was affected by  capacity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improvement construction works. Additionally, in 2024, I-77 was positively impacted by Hurricane Helene, which</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diverted heavy vehicles to the highway.</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The tables below set out the Highways traffic volume trends by quarter and for the year ended December 31, 2025,</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compared to the similar periods in 2024:</w:t>
      </w:r>
    </w:p>
    <w:tbl>
      <w:tblPr>
        <w:tblW w:w="5857" w:type="dxa"/>
        <w:jc w:val="left"/>
        <w:tblInd w:w="0" w:type="dxa"/>
        <w:tblLayout w:type="fixed"/>
        <w:tblCellMar>
          <w:top w:w="28" w:type="dxa"/>
          <w:left w:w="28" w:type="dxa"/>
          <w:bottom w:w="28" w:type="dxa"/>
          <w:right w:w="28" w:type="dxa"/>
        </w:tblCellMar>
      </w:tblPr>
      <w:tblGrid>
        <w:gridCol w:w="2626"/>
        <w:gridCol w:w="571"/>
        <w:gridCol w:w="109"/>
        <w:gridCol w:w="571"/>
        <w:gridCol w:w="109"/>
        <w:gridCol w:w="571"/>
        <w:gridCol w:w="109"/>
        <w:gridCol w:w="571"/>
        <w:gridCol w:w="109"/>
        <w:gridCol w:w="511"/>
      </w:tblGrid>
      <w:tr>
        <w:trPr/>
        <w:tc>
          <w:tcPr>
            <w:tcW w:w="262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Traffic trends</w:t>
            </w:r>
          </w:p>
        </w:tc>
        <w:tc>
          <w:tcPr>
            <w:tcW w:w="571" w:type="dxa"/>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Q1-25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Q2-25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Q3-25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Q4-25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626"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407 ETR </w:t>
            </w:r>
            <w:r>
              <w:rPr>
                <w:rFonts w:ascii="Times New Roman;serif" w:hAnsi="Times New Roman;serif"/>
                <w:b/>
                <w:i w:val="false"/>
                <w:caps w:val="false"/>
                <w:smallCaps w:val="false"/>
                <w:strike w:val="false"/>
                <w:dstrike w:val="false"/>
                <w:color w:val="B4B4B4"/>
                <w:sz w:val="18"/>
                <w:u w:val="none"/>
                <w:effect w:val="none"/>
              </w:rPr>
              <w:t>......................................</w:t>
            </w:r>
          </w:p>
        </w:tc>
        <w:tc>
          <w:tcPr>
            <w:tcW w:w="571"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4" w:space="0" w:color="231F2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r>
      <w:tr>
        <w:trPr/>
        <w:tc>
          <w:tcPr>
            <w:tcW w:w="262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NTE </w:t>
            </w:r>
            <w:r>
              <w:rPr>
                <w:rFonts w:ascii="Times New Roman;serif" w:hAnsi="Times New Roman;serif"/>
                <w:b/>
                <w:i w:val="false"/>
                <w:caps w:val="false"/>
                <w:smallCaps w:val="false"/>
                <w:strike w:val="false"/>
                <w:dstrike w:val="false"/>
                <w:color w:val="B4B4B4"/>
                <w:sz w:val="18"/>
                <w:u w:val="none"/>
                <w:effect w:val="none"/>
              </w:rPr>
              <w:t>.............................................</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r>
      <w:tr>
        <w:trPr/>
        <w:tc>
          <w:tcPr>
            <w:tcW w:w="262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LBJ</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w:t>
            </w:r>
          </w:p>
        </w:tc>
      </w:tr>
      <w:tr>
        <w:trPr/>
        <w:tc>
          <w:tcPr>
            <w:tcW w:w="262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NTE 35W</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r>
      <w:tr>
        <w:trPr/>
        <w:tc>
          <w:tcPr>
            <w:tcW w:w="262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I-66 </w:t>
            </w:r>
            <w:r>
              <w:rPr>
                <w:rFonts w:ascii="Times New Roman;serif" w:hAnsi="Times New Roman;serif"/>
                <w:b/>
                <w:i w:val="false"/>
                <w:caps w:val="false"/>
                <w:smallCaps w:val="false"/>
                <w:strike w:val="false"/>
                <w:dstrike w:val="false"/>
                <w:color w:val="B4B4B4"/>
                <w:sz w:val="18"/>
                <w:u w:val="none"/>
                <w:effect w:val="none"/>
              </w:rPr>
              <w:t>..............................................</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r>
      <w:tr>
        <w:trPr/>
        <w:tc>
          <w:tcPr>
            <w:tcW w:w="262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I-77</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r>
    </w:tbl>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During 2025, Dalaman Airport experienced a decline in the international traffic due to macroeconomic conditions and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geopolitical stressors in Turkey, which were partially mitigated by an increase in domestic traffic.</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The table below presents the passenger traffic, or the total number of incoming and outgoing passengers at the airport</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in a particular period, for the Dalaman airport in the period under review.</w:t>
      </w:r>
    </w:p>
    <w:tbl>
      <w:tblPr>
        <w:tblW w:w="7426" w:type="dxa"/>
        <w:jc w:val="left"/>
        <w:tblInd w:w="0" w:type="dxa"/>
        <w:tblLayout w:type="fixed"/>
        <w:tblCellMar>
          <w:top w:w="28" w:type="dxa"/>
          <w:left w:w="28" w:type="dxa"/>
          <w:bottom w:w="28" w:type="dxa"/>
          <w:right w:w="28" w:type="dxa"/>
        </w:tblCellMar>
      </w:tblPr>
      <w:tblGrid>
        <w:gridCol w:w="4756"/>
        <w:gridCol w:w="1273"/>
        <w:gridCol w:w="1397"/>
      </w:tblGrid>
      <w:tr>
        <w:trPr/>
        <w:tc>
          <w:tcPr>
            <w:tcW w:w="475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4756" w:type="dxa"/>
            <w:tcBorders/>
            <w:vAlign w:val="center"/>
          </w:tcPr>
          <w:p>
            <w:pPr>
              <w:pStyle w:val="TableContents"/>
              <w:bidi w:val="0"/>
              <w:spacing w:before="0" w:after="283"/>
              <w:jc w:val="left"/>
              <w:rPr>
                <w:sz w:val="4"/>
                <w:szCs w:val="4"/>
              </w:rPr>
            </w:pPr>
            <w:r>
              <w:rPr>
                <w:sz w:val="4"/>
                <w:szCs w:val="4"/>
              </w:rPr>
            </w:r>
          </w:p>
        </w:tc>
        <w:tc>
          <w:tcPr>
            <w:tcW w:w="2670"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3"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397"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475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2"/>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Dalaman</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1273"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5.6</w:t>
            </w:r>
          </w:p>
        </w:tc>
        <w:tc>
          <w:tcPr>
            <w:tcW w:w="1397"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5.6</w:t>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The table below sets out the airport passenger traffic by quarter and for the year ended December 31, 2025, compared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to the same periods in the previous year:</w:t>
      </w:r>
    </w:p>
    <w:tbl>
      <w:tblPr>
        <w:tblW w:w="5872" w:type="dxa"/>
        <w:jc w:val="left"/>
        <w:tblInd w:w="0" w:type="dxa"/>
        <w:tblLayout w:type="fixed"/>
        <w:tblCellMar>
          <w:top w:w="28" w:type="dxa"/>
          <w:left w:w="28" w:type="dxa"/>
          <w:bottom w:w="28" w:type="dxa"/>
          <w:right w:w="28" w:type="dxa"/>
        </w:tblCellMar>
      </w:tblPr>
      <w:tblGrid>
        <w:gridCol w:w="2641"/>
        <w:gridCol w:w="571"/>
        <w:gridCol w:w="109"/>
        <w:gridCol w:w="571"/>
        <w:gridCol w:w="109"/>
        <w:gridCol w:w="571"/>
        <w:gridCol w:w="109"/>
        <w:gridCol w:w="571"/>
        <w:gridCol w:w="109"/>
        <w:gridCol w:w="511"/>
      </w:tblGrid>
      <w:tr>
        <w:trPr/>
        <w:tc>
          <w:tcPr>
            <w:tcW w:w="26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Passenger trends</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Q1-25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Q2-25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Q3-25</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Q4-25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r>
      <w:tr>
        <w:trPr/>
        <w:tc>
          <w:tcPr>
            <w:tcW w:w="264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Dalaman</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0%</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5.A.2.4Impact of macroeconomic factors and conflicts in Ukraine and Middle East</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Given the international scope of our operations, our business performance and results are impacted by a number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drivers, including macroeconomic and geopolitical events affecting demand, tax policies, the regulatory environment,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the risk and return of assets. For example, the Dalaman Airport traffic has been affected negatively by both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Ukraine and Middle East conflicts, given its exposure to both markets. These conflicts have also had an adverse effect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on the global geopolitical and economic environment. Although we believe that our direct exposure to the conflicts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Ukraine and parts of the Middle East region is limited, as we primarily operate across the United States, Spain, Poland,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United Kingdom and Canada, the macroeconomic impacts resulting from these situations have translated into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shifts in demand patterns, uncertainty, generalized price increases, mainly in energy and raw materials (including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cement, concrete, steel rebars and bitumen (asphalt)), increased labor costs, supply problems and difficulties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distribution chain of certain materials, especially in the construction sector, any of which could worsen if these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conflicts were to expand or intensify. For further details, see “—1. Inflationary pressures and energy and commodity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prices.”</w:t>
      </w: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above factors also impact interest rates, which affect the banking and financing market and hence our financing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options.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As a further example of macroeconomic factors, the United States proposed new and increased tariffs on foreign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imports, and the development and application of new tariffs continues to rapidly evolve. The tariffs, or potential risk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their imposition, have introduced significant uncertainty into the market, leading to volatility in material prices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potential delays in project timelines. These tariffs, whether imposed or proposed and at the rates or levels announced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 at other rates or levels, and related uncertainty, can and have led to increased costs and could affect our strategic</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planning and financial forecasting, particularly in our Construction Business Division. Management continues to</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evaluate the potential impact of these evolving developments.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5.A.2.5Seasonality</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Revenue and cash flow in the Highways, Construction and Airports Business Divisions is also partially impacted by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seasonal factors, including weather conditions and holiday seasons, which drive demand for transport infrastructure.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Highways Business Division revenue is affected by seasonal changes in traffic volumes, with typically lower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traffic in the winter months due to adverse climate conditions. We believe that this trend has  been exacerbated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Highways Business Division as a result of the increase in hybrid work models and work flexibility, although we have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observed a gradual return to the office approach during 2025.</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w:t>
      </w:r>
      <w:r>
        <w:rPr>
          <w:rFonts w:ascii="Times New Roman;serif" w:hAnsi="Times New Roman;serif"/>
          <w:b w:val="false"/>
          <w:i w:val="false"/>
          <w:caps w:val="false"/>
          <w:smallCaps w:val="false"/>
          <w:strike w:val="false"/>
          <w:dstrike w:val="false"/>
          <w:sz w:val="20"/>
          <w:u w:val="none"/>
          <w:effect w:val="none"/>
          <w:shd w:fill="FFFFFF" w:val="clear"/>
        </w:rPr>
        <w:t>he Construction Business Division is also affected by weather conditions, typically experiencing lower revenues in</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the first quarter of the year. For example, in the first quarter of the year ended December 31, 2025, Construction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Business Division revenues amounted to EUR 1,584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compared to EUR 1,869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1,967</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and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EUR 2,233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the second, third and fourth quarters of 2025, respectively.</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The Airports Busin</w:t>
      </w:r>
      <w:r>
        <w:rPr>
          <w:rFonts w:ascii="Times New Roman;serif" w:hAnsi="Times New Roman;serif"/>
          <w:b w:val="false"/>
          <w:i w:val="false"/>
          <w:caps w:val="false"/>
          <w:smallCaps w:val="false"/>
          <w:strike w:val="false"/>
          <w:dstrike w:val="false"/>
          <w:sz w:val="20"/>
          <w:u w:val="none"/>
          <w:effect w:val="none"/>
        </w:rPr>
        <w:t>ess Division is also affected by seasonal trends, including holiday seasons. For example, in the</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third quarter of the year ended </w:t>
      </w:r>
      <w:r>
        <w:rPr>
          <w:rFonts w:ascii="Times New Roman;serif" w:hAnsi="Times New Roman;serif"/>
          <w:b w:val="false"/>
          <w:i w:val="false"/>
          <w:caps w:val="false"/>
          <w:smallCaps w:val="false"/>
          <w:strike w:val="false"/>
          <w:dstrike w:val="false"/>
          <w:sz w:val="20"/>
          <w:u w:val="none"/>
          <w:effect w:val="none"/>
          <w:shd w:fill="FFFFFF" w:val="clear"/>
        </w:rPr>
        <w:t>December 31, 2025, Dalaman airport’s revenues amounted to EUR 41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contrast with EUR 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and EUR 16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w:t>
      </w:r>
      <w:r>
        <w:rPr>
          <w:rFonts w:ascii="Times New Roman;serif" w:hAnsi="Times New Roman;serif"/>
          <w:b w:val="false"/>
          <w:i w:val="false"/>
          <w:caps w:val="false"/>
          <w:smallCaps w:val="false"/>
          <w:strike w:val="false"/>
          <w:dstrike w:val="false"/>
          <w:sz w:val="20"/>
          <w:u w:val="none"/>
          <w:effect w:val="none"/>
        </w:rPr>
        <w:t>illion in the first and fourth quarters, respectively, as the airport is much</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busier during the summer holidays.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5.A.2.6Liquidity management and investments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infrastructure assets must be able to secure significant levels of financing to be able to carry out their operations.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Certain of the industries in which we operate, such as airports and Highways, are by nature capital-intensive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businesses. Therefore, the development and operation of infrastructure concession assets requires a high level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financing. As a result, our business is sensitive to the availability, cost and other terms of financing. We have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established mechanisms to preserve the necessary levels of liquidity with periodic procedures that include cash</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generation forecasts and cash requirements, both for the different short-term collections and payments, as well as long-</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term obligations. See “</w:t>
      </w:r>
      <w:r>
        <w:rPr>
          <w:rFonts w:ascii="Times New Roman;serif" w:hAnsi="Times New Roman;serif"/>
          <w:b w:val="false"/>
          <w:i/>
          <w:strike w:val="false"/>
          <w:dstrike w:val="false"/>
          <w:sz w:val="20"/>
          <w:u w:val="none"/>
          <w:effect w:val="none"/>
        </w:rPr>
        <w:t>Item 3. Key Information—D. Risk Factors—5. Financing and Joint Ventures</w:t>
      </w:r>
      <w:r>
        <w:rPr>
          <w:strike w:val="false"/>
          <w:dstrike w:val="false"/>
          <w:u w:val="none"/>
          <w:effect w:val="none"/>
        </w:rPr>
        <w:t>—</w:t>
      </w:r>
      <w:r>
        <w:rPr>
          <w:rFonts w:ascii="Times New Roman;serif" w:hAnsi="Times New Roman;serif"/>
          <w:b w:val="false"/>
          <w:i/>
          <w:strike w:val="false"/>
          <w:dstrike w:val="false"/>
          <w:sz w:val="20"/>
          <w:u w:val="none"/>
          <w:effect w:val="none"/>
        </w:rPr>
        <w:t>2. We may not be</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able to effectively manage the exposure of our liquidity risk including access to and costs of capital and credit risks,</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which could have a material adverse effect on our business, financial condition, and results of operations.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further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details on our liquidity position, see “</w:t>
      </w:r>
      <w:r>
        <w:rPr>
          <w:strike w:val="false"/>
          <w:dstrike w:val="false"/>
          <w:u w:val="none"/>
          <w:effect w:val="none"/>
        </w:rPr>
        <w:t>—</w:t>
      </w:r>
      <w:r>
        <w:rPr>
          <w:rFonts w:ascii="Times New Roman;serif" w:hAnsi="Times New Roman;serif"/>
          <w:b w:val="false"/>
          <w:i/>
          <w:strike w:val="false"/>
          <w:dstrike w:val="false"/>
          <w:sz w:val="20"/>
          <w:u w:val="none"/>
          <w:effect w:val="none"/>
        </w:rPr>
        <w:t>B. Liquidity and Capital Resources.</w:t>
      </w:r>
      <w:r>
        <w:rPr>
          <w:caps w:val="false"/>
          <w:smallCaps w:val="false"/>
          <w:strike w:val="false"/>
          <w:dstrike w:val="false"/>
          <w:u w:val="none"/>
          <w:effect w:val="none"/>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5.A.2.7Regulatory matters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activities are subject to various regulations by governments and other regulatory bodies across the jurisdictions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where we operate, including specific aviation, toll road, energy, waste management and treatment, as well as public</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procurement and construction sector regulations. For further details, see “</w:t>
      </w:r>
      <w:r>
        <w:rPr>
          <w:rFonts w:ascii="Times New Roman;serif" w:hAnsi="Times New Roman;serif"/>
          <w:b w:val="false"/>
          <w:i/>
          <w:strike w:val="false"/>
          <w:dstrike w:val="false"/>
          <w:sz w:val="20"/>
          <w:u w:val="none"/>
          <w:effect w:val="none"/>
        </w:rPr>
        <w:t>Item 4. Information on the Company—B.</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Business Overview—9. Regulatory Environment.</w:t>
      </w:r>
      <w:r>
        <w:rPr>
          <w:caps w:val="false"/>
          <w:smallCaps w:val="false"/>
          <w:strike w:val="false"/>
          <w:dstrike w:val="false"/>
          <w:u w:val="none"/>
          <w:effect w:val="none"/>
        </w:rPr>
        <w:t>”</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spend significant resources, mainly accounted for as part of personnel expenses and other operating expenses, to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support compliance with a broad and varied range of regulatory requirements. Failure to comply with regulations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could lead to supply interruptions, product recalls, and/or regulatory enforcement action, litigation, and fines from</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regulators. For additional information on the impact of the regulated environment on our business, see “</w:t>
      </w:r>
      <w:r>
        <w:rPr>
          <w:rFonts w:ascii="Times New Roman;serif" w:hAnsi="Times New Roman;serif"/>
          <w:b w:val="false"/>
          <w:i/>
          <w:strike w:val="false"/>
          <w:dstrike w:val="false"/>
          <w:sz w:val="20"/>
          <w:u w:val="none"/>
          <w:effect w:val="none"/>
        </w:rPr>
        <w:t>Item 3. Key</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Information—D. Risk Factors—4. Legal, Regulatory, and Government Contracting</w:t>
      </w:r>
      <w:r>
        <w:rPr>
          <w:strike w:val="false"/>
          <w:dstrike w:val="false"/>
          <w:u w:val="none"/>
          <w:effect w:val="none"/>
        </w:rPr>
        <w:t>—</w:t>
      </w:r>
      <w:r>
        <w:rPr>
          <w:rFonts w:ascii="Times New Roman;serif" w:hAnsi="Times New Roman;serif"/>
          <w:b w:val="false"/>
          <w:i/>
          <w:strike w:val="false"/>
          <w:dstrike w:val="false"/>
          <w:sz w:val="20"/>
          <w:u w:val="none"/>
          <w:effect w:val="none"/>
        </w:rPr>
        <w:t>1. We are subject to risks related</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to the granting of permits and rights-of-way and securing land rights, which could have a material adverse effect on</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our business, financial condition, and results of operations.” and “—2. Our concessions are granted by governmental</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authorities and are subject to special risks, including the risk that governmental authorities will take action contrary</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to our interests or rights under the concession agreements, (this may include unilaterally terminating, amending or</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expropriating the concessions on public interest grounds, or imposing additional restrictions on toll rates).</w:t>
      </w:r>
      <w:r>
        <w:rPr>
          <w:caps w:val="false"/>
          <w:smallCaps w:val="false"/>
          <w:strike w:val="false"/>
          <w:dstrike w:val="false"/>
          <w:u w:val="none"/>
          <w:effect w:val="none"/>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5.A.2.8Significant acquisitions and disposals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the course of our business, we periodically engage in acquisitions and disposals of businesses or stakes therein, and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results of operations may be affected by significant acquisitions and divestments.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For further details on these significant investments and divestments in 2025, see </w:t>
      </w:r>
      <w:r>
        <w:rPr>
          <w:rFonts w:ascii="Times New Roman;serif" w:hAnsi="Times New Roman;serif"/>
          <w:b w:val="false"/>
          <w:i/>
          <w:strike w:val="false"/>
          <w:dstrike w:val="false"/>
          <w:sz w:val="20"/>
          <w:u w:val="none"/>
          <w:effect w:val="none"/>
        </w:rPr>
        <w:t>"Item 4. Information on the Company</w:t>
      </w:r>
      <w:r>
        <w:rPr>
          <w:strike w:val="false"/>
          <w:dstrike w:val="false"/>
          <w:u w:val="none"/>
          <w:effect w:val="none"/>
        </w:rPr>
        <w:t xml:space="preserve"> </w:t>
      </w:r>
    </w:p>
    <w:p>
      <w:pPr>
        <w:pStyle w:val="TextBody"/>
        <w:bidi w:val="0"/>
        <w:spacing w:lineRule="atLeast" w:line="200" w:before="0" w:after="0"/>
        <w:jc w:val="both"/>
        <w:rPr>
          <w:strike w:val="false"/>
          <w:dstrike w:val="false"/>
          <w:u w:val="none"/>
          <w:effect w:val="none"/>
        </w:rPr>
      </w:pPr>
      <w:r>
        <w:rPr>
          <w:strike w:val="false"/>
          <w:dstrike w:val="false"/>
          <w:u w:val="none"/>
          <w:effect w:val="none"/>
        </w:rPr>
        <w:t>—</w:t>
      </w:r>
      <w:r>
        <w:rPr>
          <w:rFonts w:ascii="Times New Roman;serif" w:hAnsi="Times New Roman;serif"/>
          <w:b w:val="false"/>
          <w:i/>
          <w:strike w:val="false"/>
          <w:dstrike w:val="false"/>
          <w:sz w:val="20"/>
          <w:u w:val="none"/>
          <w:effect w:val="none"/>
        </w:rPr>
        <w:t>A. History and development of the Company —1. Summary of Historical Investments and Divestments”.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5.A.3Factors Affecting Comparability of Our Results of Operations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5.A.3.1Changes in the scope of consolidation and business combinations.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most relevant investments and divestments that occurred in 2025 are explained in “</w:t>
      </w:r>
      <w:r>
        <w:rPr>
          <w:rFonts w:ascii="Times New Roman;serif" w:hAnsi="Times New Roman;serif"/>
          <w:b w:val="false"/>
          <w:i/>
          <w:strike w:val="false"/>
          <w:dstrike w:val="false"/>
          <w:sz w:val="20"/>
          <w:u w:val="none"/>
          <w:effect w:val="none"/>
        </w:rPr>
        <w:t>Item 4. Information on the</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Company—A. History and Development on the Company —1 Summary of Historical Investments and Divestments.</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 xml:space="preserve">History and Development on the Company </w:t>
      </w: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For more information regarding changes in the scope of consolidation,</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see Note 1.1.5 (Consolidation scope changes and other divestments of investees) to the Audited Financial Statements.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5.A.3.2Financial Risk Management</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business is affected by changes to the financial variables that have an impact on our accounts, these being mainly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foreign exchange risk, liquidity management risk, interest rate risk, inflation, credit, variable income and capital</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management. The main financial risks and how we manage them is summarized below.</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5.A.3.2.1 Exposure to interest rate fluctuations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and our businesses are subject to interest rate fluctuations that may affect our net financial expense due to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variable interest on financial assets and liabilities, as well as the measurement of financial instruments arranged at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fixed interest rates. At the project level, interest  rates are mostly fixed, aligned with rating or lenders’ requirements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helping to limit the impact of  interest rate fluctuations on net financial expense. At the corporate level, interest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rate risk is managed with the goal of optimizing the financial expense by working to achieve suitable proportions of</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fixed and variable rate debt based on the market conditions and net cash position.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As of December 31, 2025, </w:t>
      </w:r>
      <w:r>
        <w:rPr>
          <w:rFonts w:ascii="Times New Roman;serif" w:hAnsi="Times New Roman;serif"/>
          <w:b w:val="false"/>
          <w:i w:val="false"/>
          <w:caps w:val="false"/>
          <w:smallCaps w:val="false"/>
          <w:strike w:val="false"/>
          <w:dstrike w:val="false"/>
          <w:sz w:val="20"/>
          <w:u w:val="none"/>
          <w:effect w:val="none"/>
        </w:rPr>
        <w:t>97%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indebtedness is hedged (either on the basis of a fixed rate or through</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derivatives). For more information on our exposure to interest rate fluctuations, see Note 5.4.a (Exposure to interest</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rates fluctuations) to the Audited Financial Statements.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5.A.3.2.2 Exposure to foreign exchange fluctuations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foreign exchange rate risk generally arises from: (i) our international presence, through our investments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businesses in countries that use currencies other than the euro, (ii) debt denominated in currencies other than that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country where the business is conducted or the home country of the company incurring such debt, and (iii) trade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receivables or payables in a foreign currency to the currency of the company in which the transaction was registered.</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regularly monitor our expected net exposure with regard to each currency by assessing the expected cash flows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over coming years (both for dividends receivable and for potential investments or divestments), balance sheet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valuations and free cash flow generation. Foreign currency exposure at project level is managed by prioritizing natural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hedges (same currency debt) or using hedging instruments when feasible. We establish our general hedging strategy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by analyzing past changes in foreign exchange rates, monitoring mechanisms such as future projections and comparing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currency levels to its fundamental valuation or long-term equilibrium rates.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These hedges consist of foreign currency deposits or derivatives. For information on our derivatives, see Note 5.5</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derivatives at fair value) to the Audited Financial Statements.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cash and cash equivalents comprises currencies other than the Euro, as shown in the next table:</w:t>
      </w:r>
    </w:p>
    <w:tbl>
      <w:tblPr>
        <w:tblW w:w="4908" w:type="dxa"/>
        <w:jc w:val="left"/>
        <w:tblInd w:w="0" w:type="dxa"/>
        <w:tblLayout w:type="fixed"/>
        <w:tblCellMar>
          <w:top w:w="28" w:type="dxa"/>
          <w:left w:w="28" w:type="dxa"/>
          <w:bottom w:w="28" w:type="dxa"/>
          <w:right w:w="28" w:type="dxa"/>
        </w:tblCellMar>
      </w:tblPr>
      <w:tblGrid>
        <w:gridCol w:w="2176"/>
        <w:gridCol w:w="1381"/>
        <w:gridCol w:w="1351"/>
      </w:tblGrid>
      <w:tr>
        <w:trPr/>
        <w:tc>
          <w:tcPr>
            <w:tcW w:w="21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 millions of euros)</w:t>
            </w:r>
          </w:p>
        </w:tc>
        <w:tc>
          <w:tcPr>
            <w:tcW w:w="13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Amount in EUR</w:t>
            </w:r>
          </w:p>
        </w:tc>
        <w:tc>
          <w:tcPr>
            <w:tcW w:w="13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Local Currency</w:t>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EUR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38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2,165</w:t>
            </w:r>
          </w:p>
        </w:tc>
        <w:tc>
          <w:tcPr>
            <w:tcW w:w="135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2,165</w:t>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PLN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3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687</w:t>
            </w:r>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2,883</w:t>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USD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3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577</w:t>
            </w:r>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670</w:t>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CAD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3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372</w:t>
            </w:r>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598</w:t>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GBP</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3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236</w:t>
            </w:r>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207</w:t>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AUD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38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154</w:t>
            </w:r>
          </w:p>
        </w:tc>
        <w:tc>
          <w:tcPr>
            <w:tcW w:w="13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271</w:t>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38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80</w:t>
            </w:r>
          </w:p>
        </w:tc>
        <w:tc>
          <w:tcPr>
            <w:tcW w:w="13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Total Cash</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138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4,271</w:t>
            </w:r>
          </w:p>
        </w:tc>
        <w:tc>
          <w:tcPr>
            <w:tcW w:w="13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5.A.3.2.3 Exposure to credit and counterparty risk</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Some of our main financial assets, such as investments in financial assets, non-current financial assets, net financial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derivatives and trade and other receivables, are exposed to our counterparty credit risk. We actively monitor these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risks with each bank, territory and customer by analyzing the performance of risk through internal credit quality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studies. To help mitigate credit risk, our internal treasury policy establishes maximum exposure limits per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counterparty, striving to achieve diversified and secure placement of liquid assets.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5.A.3.2.4 Exposure to liquidity risk</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have established mechanisms to help preserve liquidity levels that reflect our cash generation and projected needs ,</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relation to both short-term collections and payments, and obligations to be met at long-term.</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accordance with our internal treasury policy, we only operate and invest funds with highly solvent financial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institutions.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Risk exposure is monitored on a regular basis to ensure alignment with the Group’s current cash levels and evolving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market conditions. This proactive approach allows the Group to adjust its liquidity positions dynamically, maintaining</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balance between security, liquidity, and yield.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5.A.3.2.5 Exposure to equities risk</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are exposed to risks relating to the fluctuation of our share price. This exposure arises specifically from the risk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appreciation of share-based remuneration schemes. These plans are hedged through equity swaps. Since these equity</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swaps are not classified as hedging derivatives, their market value has an impact on profit or loss.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5.A.3.2.6 Exposure to inflation risk</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revenue from infrastructure projects is associated with prices tied to inflation (for example, highways concession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contracts). Therefore, an increase in inflation would increase the cash flow derived from assets of this nature.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However, a rise in inflation rates may have an adverse effect on operating margins under construction contracts. This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risk is partially mitigated in certain jurisdictions (e.g., Spain, Canada and Poland) by inflation-related price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adjustments in contractual clauses. We also take steps to manage inflation risk by closing the main direct costs when</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tender is accepted.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5.A.3.2.7 Capital management</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aim to achieve a debt-equity ratio that makes it possible to optimize costs while safeguarding our capacity to</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continue managing our recurring activities and to grow through new projects that create shareholder value. Our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objective is to maintain a level of indebtedness, excluding infrastructure project companies, to retain our current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investment grade rating. In order to achieve this goal, we have established a financial policy consisting of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maintenance of a ratio of net debt (gross debt less cash) to Adjusted EBITDA plus dividends from projects of no more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than two times, excluding infrastructure project companies.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5.A.4Recent Developments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See “</w:t>
      </w:r>
      <w:r>
        <w:rPr>
          <w:rFonts w:ascii="Times New Roman;serif" w:hAnsi="Times New Roman;serif"/>
          <w:b w:val="false"/>
          <w:i/>
          <w:strike w:val="false"/>
          <w:dstrike w:val="false"/>
          <w:sz w:val="20"/>
          <w:u w:val="none"/>
          <w:effect w:val="none"/>
        </w:rPr>
        <w:t>Item 4. Information on the Company—A. History and Development on the Company.</w:t>
      </w:r>
      <w:r>
        <w:rPr>
          <w:caps w:val="false"/>
          <w:smallCaps w:val="false"/>
          <w:strike w:val="false"/>
          <w:dstrike w:val="false"/>
          <w:u w:val="none"/>
          <w:effect w:val="none"/>
        </w:rPr>
        <w:t>”</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5.A.5Description of Key Line Items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Set forth below is a brief description of the composition of certain line items of the consolidated income statement.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This description must be read in conjunction with the significant accounting policies elsewhere in this section and in</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Audited Financial Statements.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5.A.5.1Revenues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Most of our revenues come from: (i) contracts with customers, which include public, private or internal entities, for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services in the Construction Business Division; (ii) fees from users of highways in the Highways Business Division,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(iii) concession contracts from clients in the Airports Business Division and (iv) other activities. Revenues also include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financial income for the services provided by the concession operators that apply the financial asset model.</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5.A.5.2Materials consumed</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Materials consumed include expenses related to energy and materials’ consumption, primarily in relation to our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Construction Business Division.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5.A.5.3Other operating expenses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Other operating expenses include work carried out by other companies and changes in provisions for each year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including subcontracted works, leases, repairs and maintenance, independent professional services, changes in</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provisions for liabilities and other operating expenses.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5.A.5.4Personnel expenses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Personnel expenses consist of expenses related to wages and salaries, social security, pension plan contributions,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share-based payments and other welfare expenses of our employees.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5.A.5.5Fixed asset depreciation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Fixed asset depreciation consists mainly of depreciation related to our fixed assets such as property, plant and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equipment.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5.A.5.6Impairment and disposal of fixed assets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Impairment and disposal of fixed assets refers to gains or losses related to the sale of our fixed assets such as property,</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plant and equipment.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5.A.5.7Net financial income/(expense) from infrastructure projects and ex-infrastructure projects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Part of our activities, primarily in the Highways and Airports Business Divisions but also, to some extent,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Construction and Energy Business Divisions, consist of the development of infrastructure projects through long-term</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arrangements with public authorities, under which a concession operator, in which we have an ownership interest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together with other shareholders, finances the construction or upgrade of public infrastructure, mainly with borrowings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secured by the project cash flows and capital contributed by shareholders, and subsequently operates and maintains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infrastructure. Key examples of such infrastructure projects include the Managed Lanes located in Texas and I-66</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Managed Lanes.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some cases, the construction and subsequent maintenance of the infrastructure projects are subcontracted by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concession operators to the Group’s Construction Business Division.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order to aid in understanding our financial performance, we disclose our net financial income/(expense) separately</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(i) infrastructure projects and (ii) excluding infrastructure projects: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i w:val="false"/>
          <w:caps w:val="false"/>
          <w:smallCaps w:val="false"/>
          <w:strike w:val="false"/>
          <w:dstrike w:val="false"/>
          <w:sz w:val="20"/>
          <w:u w:val="none"/>
          <w:effect w:val="none"/>
        </w:rPr>
        <w:t>Net financial income/(expense) from infrastructure projects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consists of financial income from financing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of our infrastructure projects minus the accrued financial expenses and expenses capitalized during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construction period.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i w:val="false"/>
          <w:caps w:val="false"/>
          <w:smallCaps w:val="false"/>
          <w:strike w:val="false"/>
          <w:dstrike w:val="false"/>
          <w:sz w:val="20"/>
          <w:u w:val="none"/>
          <w:effect w:val="none"/>
        </w:rPr>
        <w:t>Net financial income/(expense) from ex-infrastructure projects</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consists of income from external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borrowing costs and from financial investments and includes the impact of derivatives and other fair value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adjustments.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For a further description of our infrastructure project companies, see </w:t>
      </w:r>
      <w:r>
        <w:rPr>
          <w:strike w:val="false"/>
          <w:dstrike w:val="false"/>
          <w:u w:val="none"/>
          <w:effect w:val="none"/>
        </w:rPr>
        <w:t>“—</w:t>
      </w:r>
      <w:r>
        <w:rPr>
          <w:rFonts w:ascii="Times New Roman;serif" w:hAnsi="Times New Roman;serif"/>
          <w:b w:val="false"/>
          <w:i/>
          <w:strike w:val="false"/>
          <w:dstrike w:val="false"/>
          <w:sz w:val="20"/>
          <w:u w:val="none"/>
          <w:effect w:val="none"/>
        </w:rPr>
        <w:t>B. Liquidity and Capital Resources— 6. Non-</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IFRS Measures: Liquidity and Capital Resources—1. Consolidated Net Debt.</w:t>
      </w:r>
      <w:r>
        <w:rPr>
          <w:caps w:val="false"/>
          <w:smallCaps w:val="false"/>
          <w:strike w:val="false"/>
          <w:dstrike w:val="false"/>
          <w:u w:val="none"/>
          <w:effect w:val="none"/>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5.A.5.8Share of profits of equity-accounted companies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Share of profits of equity-accounted companies reflects the effect in our consolidated income statement relating to our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companies consolidated by means of equity accounting.</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5.A.5.9Profit/(loss) before tax from continuing operations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Profit/(loss) before tax from continuing operations represents our operating profit/(loss) after net financial income/</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 and including share of profits of equity-accounted companies.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5.A.5.10Income tax / (expense)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Income tax / (expense) consists of our current tax payable on the taxable profit for the period after applying allowable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deductions, changes in deferred tax assets and liabilities, and tax credits.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5.A.5.11Profit/(loss) net of tax from discontinued operations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Profit / (loss) net of tax from discontinued operations refers to income from discontinued operations and includes all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income and costs generated from our Services and Construction Business Divisions, including divestments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businesses. It also includes an impairment loss equal to the difference between the estimated fair value of the assets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their carrying amount.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5.A.5.12Net profit/(loss)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Net profit / (loss) accounted for using the equity method reflecting the effect in our consolidated income statement</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relating to companies consolidated by means of equity accounting.</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5.A.5.13Net Profit/(loss) attributed to non-controlling interests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Net Profit / (loss) attributed to non-controlling interests refers to the profits we obtain that may be allocated to other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partners with a stake in the said companies.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5.A.6Results of Operations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set out our consolidated results of operations for the periods indicated.</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5.A.6.1Comparison of the Years Ended December 31, 2025 and December 31, 2024</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Unless stated otherwise, numbers in this section have been derived from the Audited Financial Statements. For a</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discussion of the presentation of our historical financial information included in this Annual Report, see “</w:t>
      </w:r>
      <w:r>
        <w:rPr>
          <w:rFonts w:ascii="Times New Roman;serif" w:hAnsi="Times New Roman;serif"/>
          <w:b w:val="false"/>
          <w:i/>
          <w:strike w:val="false"/>
          <w:dstrike w:val="false"/>
          <w:sz w:val="20"/>
          <w:u w:val="none"/>
          <w:effect w:val="none"/>
        </w:rPr>
        <w:t>Presentation</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of Financial and Other Information.</w:t>
      </w:r>
      <w:r>
        <w:rPr>
          <w:caps w:val="false"/>
          <w:smallCaps w:val="false"/>
          <w:strike w:val="false"/>
          <w:dstrike w:val="false"/>
          <w:u w:val="none"/>
          <w:effect w:val="none"/>
        </w:rPr>
        <w:t>”</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consolidated results of operations for the year ended December 31,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compared with the year ended</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December 31, 2024, are discussed below.</w:t>
      </w:r>
    </w:p>
    <w:tbl>
      <w:tblPr>
        <w:tblW w:w="8625" w:type="dxa"/>
        <w:jc w:val="left"/>
        <w:tblInd w:w="0" w:type="dxa"/>
        <w:tblLayout w:type="fixed"/>
        <w:tblCellMar>
          <w:top w:w="28" w:type="dxa"/>
          <w:left w:w="28" w:type="dxa"/>
          <w:bottom w:w="28" w:type="dxa"/>
          <w:right w:w="28" w:type="dxa"/>
        </w:tblCellMar>
      </w:tblPr>
      <w:tblGrid>
        <w:gridCol w:w="5956"/>
        <w:gridCol w:w="639"/>
        <w:gridCol w:w="639"/>
        <w:gridCol w:w="1391"/>
      </w:tblGrid>
      <w:tr>
        <w:trPr/>
        <w:tc>
          <w:tcPr>
            <w:tcW w:w="595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before="0" w:after="283"/>
              <w:jc w:val="left"/>
              <w:rPr>
                <w:sz w:val="4"/>
                <w:szCs w:val="4"/>
              </w:rPr>
            </w:pPr>
            <w:r>
              <w:rPr>
                <w:sz w:val="4"/>
                <w:szCs w:val="4"/>
              </w:rPr>
            </w:r>
          </w:p>
        </w:tc>
        <w:tc>
          <w:tcPr>
            <w:tcW w:w="2669" w:type="dxa"/>
            <w:gridSpan w:val="3"/>
            <w:tcBorders>
              <w:bottom w:val="single" w:sz="4"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5956" w:type="dxa"/>
            <w:tcBorders/>
            <w:shd w:fill="FFFFFF" w:val="clear"/>
            <w:vAlign w:val="center"/>
          </w:tcPr>
          <w:p>
            <w:pPr>
              <w:pStyle w:val="TableContents"/>
              <w:bidi w:val="0"/>
              <w:spacing w:before="0" w:after="283"/>
              <w:jc w:val="left"/>
              <w:rPr>
                <w:sz w:val="4"/>
                <w:szCs w:val="4"/>
              </w:rPr>
            </w:pPr>
            <w:r>
              <w:rPr>
                <w:sz w:val="4"/>
                <w:szCs w:val="4"/>
              </w:rPr>
            </w:r>
          </w:p>
        </w:tc>
        <w:tc>
          <w:tcPr>
            <w:tcW w:w="63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63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c>
          <w:tcPr>
            <w:tcW w:w="139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Variation</w:t>
            </w:r>
          </w:p>
        </w:tc>
      </w:tr>
      <w:tr>
        <w:trPr/>
        <w:tc>
          <w:tcPr>
            <w:tcW w:w="5956" w:type="dxa"/>
            <w:tcBorders/>
            <w:shd w:fill="FFFFFF" w:val="clear"/>
            <w:vAlign w:val="center"/>
          </w:tcPr>
          <w:p>
            <w:pPr>
              <w:pStyle w:val="TableContents"/>
              <w:bidi w:val="0"/>
              <w:spacing w:before="0" w:after="283"/>
              <w:jc w:val="left"/>
              <w:rPr>
                <w:sz w:val="4"/>
                <w:szCs w:val="4"/>
              </w:rPr>
            </w:pPr>
            <w:r>
              <w:rPr>
                <w:sz w:val="4"/>
                <w:szCs w:val="4"/>
              </w:rPr>
            </w:r>
          </w:p>
        </w:tc>
        <w:tc>
          <w:tcPr>
            <w:tcW w:w="2669" w:type="dxa"/>
            <w:gridSpan w:val="3"/>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231F20"/>
                <w:sz w:val="18"/>
                <w:u w:val="none"/>
                <w:effect w:val="none"/>
              </w:rPr>
            </w:pPr>
            <w:r>
              <w:rPr>
                <w:rFonts w:ascii="Times New Roman;serif" w:hAnsi="Times New Roman;serif"/>
                <w:b w:val="false"/>
                <w:i/>
                <w:strike w:val="false"/>
                <w:dstrike w:val="false"/>
                <w:color w:val="231F20"/>
                <w:sz w:val="18"/>
                <w:u w:val="none"/>
                <w:effect w:val="none"/>
              </w:rPr>
              <w:t>(in millions of euros)</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Revenues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9,627</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9,148</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5.2%</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Materials consumed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1,124</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1,115</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0.8%</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 xml:space="preserve">Other operating expenses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5,199</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4,931</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5.4%</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Personnel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1,847</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1,760</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4.9%</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Total operating expenses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8,170</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7,806</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4.7%</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Fixed asset depreciation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490</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441</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11.1%</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Impairment and disposal of 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210</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2,208</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(90.5)%</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Operating profit/(loss)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1,177</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3,109</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(62.1)%</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Net financial income/(expense) from financing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(348)</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(339)</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2.7%</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 xml:space="preserve">Profit/(loss) on derivatives and other net financial income/(expense)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(76)</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(72)</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(5.6)%</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Net financial income/(expense) from infrastructure projects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(424)</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(411)</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3.2%</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 xml:space="preserve">Net financial income/(expense) from financing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57</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74</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(23.0)%</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Profit/(loss) on derivatives and other net financial income/(expense)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611</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(99.7)%</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Net</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18"/>
                <w:u w:val="none"/>
                <w:effect w:val="none"/>
              </w:rPr>
              <w:t>financial</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18"/>
                <w:u w:val="none"/>
                <w:effect w:val="none"/>
              </w:rPr>
              <w:t>income/(expense)</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18"/>
                <w:u w:val="none"/>
                <w:effect w:val="none"/>
              </w:rPr>
              <w:t>from</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18"/>
                <w:u w:val="none"/>
                <w:effect w:val="none"/>
              </w:rPr>
              <w:t>ex-infrastructure</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18"/>
                <w:u w:val="none"/>
                <w:effect w:val="none"/>
              </w:rPr>
              <w:t>projects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59</w:t>
            </w:r>
          </w:p>
        </w:tc>
        <w:tc>
          <w:tcPr>
            <w:tcW w:w="63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685</w:t>
            </w:r>
          </w:p>
        </w:tc>
        <w:tc>
          <w:tcPr>
            <w:tcW w:w="139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(91.4)%</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Net financial income/(expense)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(365)</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274</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(233.2)%</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Share of profits of equity-accounted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258</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238</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8.4%</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Profit/(loss) before tax from continuing operations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1,070</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3,621</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(70.5)%</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Income tax benefit /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60</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(145)</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(141.4)%</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Profit/(loss) net of tax from continuing operations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1,130</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3,476</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(67.5)%</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Profit/(loss) net of tax from 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20</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14</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42.9%</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Net profit/(loss)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1,150</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3,490</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(67.0)%</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Net profit/(loss) for the year attributed to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(262)</w:t>
            </w:r>
          </w:p>
        </w:tc>
        <w:tc>
          <w:tcPr>
            <w:tcW w:w="63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(251)</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4.4%</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Net profit/(loss) for the year attributed to the parent company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888</w:t>
            </w:r>
          </w:p>
        </w:tc>
        <w:tc>
          <w:tcPr>
            <w:tcW w:w="63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3,239</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(72.6)%</w:t>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Revenues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Revenues increased by 5.2%</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EUR 9,627</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9,148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primarily due to the</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improvement in results across the Business Divisions and particularly in the Highways and Construction Business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Divisions.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The table below sets out our revenues by Business Division for the years ended December 31,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2024:</w:t>
      </w:r>
    </w:p>
    <w:tbl>
      <w:tblPr>
        <w:tblW w:w="7905" w:type="dxa"/>
        <w:jc w:val="left"/>
        <w:tblInd w:w="0" w:type="dxa"/>
        <w:tblLayout w:type="fixed"/>
        <w:tblCellMar>
          <w:top w:w="28" w:type="dxa"/>
          <w:left w:w="28" w:type="dxa"/>
          <w:bottom w:w="28" w:type="dxa"/>
          <w:right w:w="28" w:type="dxa"/>
        </w:tblCellMar>
      </w:tblPr>
      <w:tblGrid>
        <w:gridCol w:w="5236"/>
        <w:gridCol w:w="639"/>
        <w:gridCol w:w="639"/>
        <w:gridCol w:w="1391"/>
      </w:tblGrid>
      <w:tr>
        <w:trPr/>
        <w:tc>
          <w:tcPr>
            <w:tcW w:w="52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before="0" w:after="283"/>
              <w:jc w:val="left"/>
              <w:rPr>
                <w:sz w:val="4"/>
                <w:szCs w:val="4"/>
              </w:rPr>
            </w:pPr>
            <w:r>
              <w:rPr>
                <w:sz w:val="4"/>
                <w:szCs w:val="4"/>
              </w:rPr>
            </w:r>
          </w:p>
        </w:tc>
        <w:tc>
          <w:tcPr>
            <w:tcW w:w="2669" w:type="dxa"/>
            <w:gridSpan w:val="3"/>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5236" w:type="dxa"/>
            <w:vMerge w:val="restart"/>
            <w:tcBorders/>
            <w:vAlign w:val="center"/>
          </w:tcPr>
          <w:p>
            <w:pPr>
              <w:pStyle w:val="TableContents"/>
              <w:bidi w:val="0"/>
              <w:spacing w:before="0" w:after="283"/>
              <w:jc w:val="left"/>
              <w:rPr>
                <w:sz w:val="4"/>
                <w:szCs w:val="4"/>
              </w:rPr>
            </w:pPr>
            <w:r>
              <w:rPr>
                <w:sz w:val="4"/>
                <w:szCs w:val="4"/>
              </w:rPr>
            </w:r>
          </w:p>
        </w:tc>
        <w:tc>
          <w:tcPr>
            <w:tcW w:w="63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2025</w:t>
            </w:r>
          </w:p>
        </w:tc>
        <w:tc>
          <w:tcPr>
            <w:tcW w:w="63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2024</w:t>
            </w:r>
          </w:p>
        </w:tc>
        <w:tc>
          <w:tcPr>
            <w:tcW w:w="139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 xml:space="preserve">%Variation </w:t>
            </w:r>
          </w:p>
        </w:tc>
      </w:tr>
      <w:tr>
        <w:trPr/>
        <w:tc>
          <w:tcPr>
            <w:tcW w:w="5236" w:type="dxa"/>
            <w:vMerge w:val="continue"/>
            <w:tcBorders/>
            <w:vAlign w:val="center"/>
          </w:tcPr>
          <w:p>
            <w:pPr>
              <w:pStyle w:val="Normal"/>
              <w:bidi w:val="0"/>
              <w:jc w:val="left"/>
              <w:rPr/>
            </w:pPr>
            <w:r>
              <w:rPr/>
            </w:r>
          </w:p>
        </w:tc>
        <w:tc>
          <w:tcPr>
            <w:tcW w:w="639"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523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Highways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1,374</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1,256</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9.4%</w:t>
            </w:r>
          </w:p>
        </w:tc>
      </w:tr>
      <w:tr>
        <w:trPr/>
        <w:tc>
          <w:tcPr>
            <w:tcW w:w="523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Airports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111</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w:t>
            </w:r>
          </w:p>
        </w:tc>
      </w:tr>
      <w:tr>
        <w:trPr/>
        <w:tc>
          <w:tcPr>
            <w:tcW w:w="523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Construction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7,653</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7,236</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5.8%</w:t>
            </w:r>
          </w:p>
        </w:tc>
      </w:tr>
      <w:tr>
        <w:trPr/>
        <w:tc>
          <w:tcPr>
            <w:tcW w:w="523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Energy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339</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25.6%</w:t>
            </w:r>
          </w:p>
        </w:tc>
      </w:tr>
      <w:tr>
        <w:trPr/>
        <w:tc>
          <w:tcPr>
            <w:tcW w:w="523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Other</w:t>
            </w:r>
            <w:r>
              <w:rPr>
                <w:rFonts w:ascii="Times New Roman;serif" w:hAnsi="Times New Roman;serif"/>
                <w:b w:val="false"/>
                <w:i w:val="false"/>
                <w:caps w:val="false"/>
                <w:smallCaps w:val="false"/>
                <w:strike w:val="false"/>
                <w:dstrike w:val="false"/>
                <w:sz w:val="12"/>
                <w:u w:val="none"/>
                <w:effect w:val="none"/>
              </w:rPr>
              <w:t>(1)</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460</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519</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(11.4)%</w:t>
            </w:r>
          </w:p>
        </w:tc>
      </w:tr>
      <w:tr>
        <w:trPr/>
        <w:tc>
          <w:tcPr>
            <w:tcW w:w="523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Adjustments</w:t>
            </w:r>
            <w:r>
              <w:rPr>
                <w:rFonts w:ascii="Times New Roman;serif" w:hAnsi="Times New Roman;serif"/>
                <w:b w:val="false"/>
                <w:i w:val="false"/>
                <w:caps w:val="false"/>
                <w:smallCaps w:val="false"/>
                <w:strike w:val="false"/>
                <w:dstrike w:val="false"/>
                <w:sz w:val="12"/>
                <w:u w:val="none"/>
                <w:effect w:val="none"/>
              </w:rPr>
              <w:t>(2)</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(310)</w:t>
            </w:r>
          </w:p>
        </w:tc>
        <w:tc>
          <w:tcPr>
            <w:tcW w:w="63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w:t>
            </w:r>
          </w:p>
        </w:tc>
        <w:tc>
          <w:tcPr>
            <w:tcW w:w="13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(38.4)%</w:t>
            </w:r>
          </w:p>
        </w:tc>
      </w:tr>
      <w:tr>
        <w:trPr/>
        <w:tc>
          <w:tcPr>
            <w:tcW w:w="523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 xml:space="preserve">Total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9,627</w:t>
            </w:r>
          </w:p>
        </w:tc>
        <w:tc>
          <w:tcPr>
            <w:tcW w:w="63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9,148</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5.2%</w:t>
            </w:r>
          </w:p>
        </w:tc>
      </w:tr>
    </w:tbl>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(1)Other includes revenues from: Ferrovial N.V. (mainly management fees charged to our business divisions) and ii) the different</w:t>
      </w:r>
      <w:r>
        <w:rPr>
          <w:caps w:val="false"/>
          <w:smallCaps w:val="false"/>
          <w:strike w:val="false"/>
          <w:dstrike w:val="false"/>
          <w:u w:val="none"/>
          <w:effect w:val="none"/>
        </w:rPr>
        <w:t xml:space="preserve"> </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 xml:space="preserve">businesses that are not included as part of our business divisions (see </w:t>
      </w:r>
      <w:r>
        <w:rPr>
          <w:rFonts w:ascii="Times New Roman;serif" w:hAnsi="Times New Roman;serif"/>
          <w:b w:val="false"/>
          <w:i/>
          <w:strike w:val="false"/>
          <w:dstrike w:val="false"/>
          <w:sz w:val="16"/>
          <w:u w:val="none"/>
          <w:effect w:val="none"/>
        </w:rPr>
        <w:t>"Item 4. Information on the Company,—B. Business Overview, —1</w:t>
      </w:r>
      <w:r>
        <w:rPr>
          <w:strike w:val="false"/>
          <w:dstrike w:val="false"/>
          <w:u w:val="none"/>
          <w:effect w:val="none"/>
        </w:rPr>
        <w:t xml:space="preserve"> </w:t>
      </w:r>
    </w:p>
    <w:p>
      <w:pPr>
        <w:pStyle w:val="TextBody"/>
        <w:bidi w:val="0"/>
        <w:spacing w:lineRule="atLeast" w:line="160" w:before="0" w:after="0"/>
        <w:jc w:val="both"/>
        <w:rPr>
          <w:u w:val="single"/>
        </w:rPr>
      </w:pPr>
      <w:r>
        <w:rPr>
          <w:rFonts w:ascii="Times New Roman;serif" w:hAnsi="Times New Roman;serif"/>
          <w:b w:val="false"/>
          <w:i/>
          <w:strike w:val="false"/>
          <w:dstrike w:val="false"/>
          <w:sz w:val="16"/>
          <w:u w:val="none"/>
          <w:effect w:val="none"/>
        </w:rPr>
        <w:t>Overview"</w:t>
      </w:r>
      <w:r>
        <w:rPr>
          <w:rFonts w:ascii="Times New Roman;serif" w:hAnsi="Times New Roman;serif"/>
          <w:b w:val="false"/>
          <w:i w:val="false"/>
          <w:caps w:val="false"/>
          <w:smallCaps w:val="false"/>
          <w:strike w:val="false"/>
          <w:dstrike w:val="false"/>
          <w:sz w:val="16"/>
          <w:u w:val="none"/>
          <w:effect w:val="none"/>
        </w:rPr>
        <w:t>).</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(2)Adjustments consist of inter-segment sales that are eliminated in the Group’s consolidated financial statements.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Highways Business Division revenue increased by 9.4%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EUR 1,374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1,256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in 2024. This increase was primarily attributed to increased toll rates. All Managed Lanes revenue-per-transaction,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grew compared to 2024. Particularly, within this Busi</w:t>
      </w:r>
      <w:r>
        <w:rPr>
          <w:rFonts w:ascii="Times New Roman;serif" w:hAnsi="Times New Roman;serif"/>
          <w:b w:val="false"/>
          <w:i w:val="false"/>
          <w:caps w:val="false"/>
          <w:smallCaps w:val="false"/>
          <w:strike w:val="false"/>
          <w:dstrike w:val="false"/>
          <w:sz w:val="20"/>
          <w:u w:val="none"/>
          <w:effect w:val="none"/>
        </w:rPr>
        <w:t>ness Division:</w:t>
      </w:r>
    </w:p>
    <w:p>
      <w:pPr>
        <w:pStyle w:val="TextBody"/>
        <w:bidi w:val="0"/>
        <w:spacing w:lineRule="atLeast" w:line="200" w:before="0" w:after="0"/>
        <w:jc w:val="both"/>
        <w:rPr>
          <w:u w:val="single"/>
        </w:rPr>
      </w:pPr>
      <w:r>
        <w:rPr>
          <w:caps w:val="false"/>
          <w:smallCaps w:val="false"/>
          <w:strike w:val="false"/>
          <w:dstrike w:val="false"/>
          <w:color w:val="231F20"/>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NTE 1-2 revenues increased by 8.1%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USD 323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286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million), which was </w:t>
      </w:r>
      <w:r>
        <w:rPr>
          <w:rFonts w:ascii="Times New Roman;serif" w:hAnsi="Times New Roman;serif"/>
          <w:b w:val="false"/>
          <w:i w:val="false"/>
          <w:caps w:val="false"/>
          <w:smallCaps w:val="false"/>
          <w:strike w:val="false"/>
          <w:dstrike w:val="false"/>
          <w:color w:val="231F20"/>
          <w:sz w:val="20"/>
          <w:u w:val="none"/>
          <w:effect w:val="none"/>
          <w:shd w:fill="FFFFFF" w:val="clear"/>
        </w:rPr>
        <w:t>mainly</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driven</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by</w:t>
      </w:r>
      <w:r>
        <w:rPr>
          <w:caps w:val="false"/>
          <w:smallCaps w:val="false"/>
          <w:strike w:val="false"/>
          <w:dstrike w:val="false"/>
          <w:color w:val="231F20"/>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shd w:fill="FFFFFF" w:val="clear"/>
        </w:rPr>
        <w:t>higher</w:t>
      </w:r>
      <w:r>
        <w:rPr>
          <w:caps w:val="false"/>
          <w:smallCaps w:val="false"/>
          <w:strike w:val="false"/>
          <w:dstrike w:val="false"/>
          <w:color w:val="231F20"/>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toll</w:t>
      </w:r>
      <w:r>
        <w:rPr>
          <w:caps w:val="false"/>
          <w:smallCaps w:val="false"/>
          <w:strike w:val="false"/>
          <w:dstrike w:val="false"/>
          <w:color w:val="231F20"/>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rates, despite traffic being impacted by construction capacity improvements works along the NTE 1-2</w:t>
      </w:r>
      <w:r>
        <w:rPr>
          <w:caps w:val="false"/>
          <w:smallCaps w:val="false"/>
          <w:strike w:val="false"/>
          <w:dstrike w:val="false"/>
          <w:color w:val="231F20"/>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shd w:fill="FFFFFF" w:val="clear"/>
        </w:rPr>
        <w:t>corridor, which started on 2024.</w:t>
      </w:r>
      <w:r>
        <w:rPr>
          <w:caps w:val="false"/>
          <w:smallCaps w:val="false"/>
          <w:strike w:val="false"/>
          <w:dstrike w:val="false"/>
          <w:color w:val="231F20"/>
          <w:u w:val="none"/>
          <w:effect w:val="none"/>
          <w:shd w:fill="FFFFFF" w:val="clear"/>
        </w:rPr>
        <w:t xml:space="preserve"> </w:t>
      </w:r>
    </w:p>
    <w:p>
      <w:pPr>
        <w:pStyle w:val="TextBody"/>
        <w:bidi w:val="0"/>
        <w:spacing w:lineRule="atLeast" w:line="200" w:before="0" w:after="0"/>
        <w:jc w:val="both"/>
        <w:rPr>
          <w:u w:val="single"/>
        </w:rPr>
      </w:pPr>
      <w:r>
        <w:rPr>
          <w:caps w:val="false"/>
          <w:smallCaps w:val="false"/>
          <w:strike w:val="false"/>
          <w:dstrike w:val="false"/>
          <w:color w:val="231F20"/>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NTE 35W revenues increased by 14.7%</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USD 368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325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which was mainly driven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by higher toll rates, together with an increase in traffic in the corridor.</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LBJ revenues increased by 8.6%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USD 244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216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which was primarily driven by</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higher toll rates, as traffic was impacted by the increasing construction activity in the nearby corridors.</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I-77 revenues increased by 21.9%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USD 130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115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which was primarily driven by</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higher toll rates.</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I-66 revenues amounted to USD 303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268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which was driven by higher toll rates,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coupled with the gradually increase in traffic in the corridor, particularly during peak hours.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Our Airports Business Division reve</w:t>
      </w:r>
      <w:r>
        <w:rPr>
          <w:rFonts w:ascii="Times New Roman;serif" w:hAnsi="Times New Roman;serif"/>
          <w:b w:val="false"/>
          <w:i w:val="false"/>
          <w:caps w:val="false"/>
          <w:smallCaps w:val="false"/>
          <w:strike w:val="false"/>
          <w:dstrike w:val="false"/>
          <w:sz w:val="20"/>
          <w:u w:val="none"/>
          <w:effect w:val="none"/>
          <w:shd w:fill="FFFFFF" w:val="clear"/>
        </w:rPr>
        <w:t>nue increased by 22.0%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EUR 111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91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with Dalaman commercial revenues performing positively.</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Our Construction Business Division revenue increased by </w:t>
      </w:r>
      <w:r>
        <w:rPr>
          <w:rFonts w:ascii="Times New Roman;serif" w:hAnsi="Times New Roman;serif"/>
          <w:b w:val="false"/>
          <w:i w:val="false"/>
          <w:caps w:val="false"/>
          <w:smallCaps w:val="false"/>
          <w:strike w:val="false"/>
          <w:dstrike w:val="false"/>
          <w:sz w:val="20"/>
          <w:u w:val="none"/>
          <w:effect w:val="none"/>
        </w:rPr>
        <w:t>5.8%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EUR 7,653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7,236</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million in 2024. This increase was primarily driven mainly by the performance of Webber</w:t>
      </w:r>
      <w:r>
        <w:rPr>
          <w:rFonts w:ascii="Times New Roman;serif" w:hAnsi="Times New Roman;serif"/>
          <w:b w:val="false"/>
          <w:i w:val="false"/>
          <w:caps w:val="false"/>
          <w:smallCaps w:val="false"/>
          <w:strike w:val="false"/>
          <w:dstrike w:val="false"/>
          <w:sz w:val="20"/>
          <w:u w:val="none"/>
          <w:effect w:val="none"/>
        </w:rPr>
        <w:t xml:space="preserve">. </w:t>
      </w:r>
      <w:r>
        <w:rPr>
          <w:rFonts w:ascii="Times New Roman;serif" w:hAnsi="Times New Roman;serif"/>
          <w:b w:val="false"/>
          <w:i w:val="false"/>
          <w:caps w:val="false"/>
          <w:smallCaps w:val="false"/>
          <w:strike w:val="false"/>
          <w:dstrike w:val="false"/>
          <w:sz w:val="20"/>
          <w:u w:val="none"/>
          <w:effect w:val="none"/>
          <w:shd w:fill="FFFFFF" w:val="clear"/>
        </w:rPr>
        <w:t>Particularly, within 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Business Divisi</w:t>
      </w:r>
      <w:r>
        <w:rPr>
          <w:rFonts w:ascii="Times New Roman;serif" w:hAnsi="Times New Roman;serif"/>
          <w:b w:val="false"/>
          <w:i w:val="false"/>
          <w:caps w:val="false"/>
          <w:smallCaps w:val="false"/>
          <w:strike w:val="false"/>
          <w:dstrike w:val="false"/>
          <w:sz w:val="20"/>
          <w:u w:val="none"/>
          <w:effect w:val="none"/>
        </w:rPr>
        <w:t>on:</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Budimex revenues increased by 6.0%, which was mainly driven by a higher execution of Design and Build</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Civil Works contracts.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Webber revenues increased by 15.8%, which was driven mainly by higher Civil Works activities on the back</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the awards in 2023 and 2024.</w:t>
      </w:r>
    </w:p>
    <w:p>
      <w:pPr>
        <w:pStyle w:val="TextBody"/>
        <w:bidi w:val="0"/>
        <w:spacing w:lineRule="atLeast" w:line="200" w:before="0" w:after="0"/>
        <w:jc w:val="both"/>
        <w:rPr>
          <w:u w:val="single"/>
        </w:rPr>
      </w:pPr>
      <w:r>
        <w:rPr>
          <w:caps w:val="false"/>
          <w:smallCaps w:val="false"/>
          <w:strike w:val="false"/>
          <w:dstrike w:val="false"/>
          <w:u w:val="none"/>
          <w:effect w:val="none"/>
          <w:shd w:fill="FFFFFF" w:val="clear"/>
        </w:rPr>
        <w:t>▪</w:t>
      </w:r>
      <w:r>
        <w:rPr>
          <w:rFonts w:ascii="Times New Roman;serif" w:hAnsi="Times New Roman;serif"/>
          <w:b w:val="false"/>
          <w:i w:val="false"/>
          <w:caps w:val="false"/>
          <w:smallCaps w:val="false"/>
          <w:strike w:val="false"/>
          <w:dstrike w:val="false"/>
          <w:sz w:val="20"/>
          <w:u w:val="none"/>
          <w:effect w:val="none"/>
          <w:shd w:fill="FFFFFF" w:val="clear"/>
        </w:rPr>
        <w:t>F</w:t>
      </w:r>
      <w:r>
        <w:rPr>
          <w:rFonts w:ascii="Times New Roman;serif" w:hAnsi="Times New Roman;serif"/>
          <w:b w:val="false"/>
          <w:i w:val="false"/>
          <w:caps w:val="false"/>
          <w:smallCaps w:val="false"/>
          <w:strike w:val="false"/>
          <w:dstrike w:val="false"/>
          <w:sz w:val="20"/>
          <w:u w:val="none"/>
          <w:effect w:val="none"/>
        </w:rPr>
        <w:t>errovial Construction increased by 0.5%, which was primarily due to the completion of major contracts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such as Sydney Metro in Australia, California High-Speed Rail in the U.S. or Silvertown Tunnel in the UK,</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offset by higher contribution from Canada and Spain.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Our Energy Business Division revenue increased by 25.6%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EUR 339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EUR 270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2024, which was driven by an increase in all activities.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Materials consumed</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Materials consumed increased </w:t>
      </w:r>
      <w:r>
        <w:rPr>
          <w:rFonts w:ascii="Times New Roman;serif" w:hAnsi="Times New Roman;serif"/>
          <w:b w:val="false"/>
          <w:i w:val="false"/>
          <w:caps w:val="false"/>
          <w:smallCaps w:val="false"/>
          <w:strike w:val="false"/>
          <w:dstrike w:val="false"/>
          <w:sz w:val="20"/>
          <w:u w:val="none"/>
          <w:effect w:val="none"/>
          <w:shd w:fill="FFFFFF" w:val="clear"/>
        </w:rPr>
        <w:t>by 0.8%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EUR 1,124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EUR 1,115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primarily due</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an increase in activity in the Construction Business Division.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Other operating expenses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Other operating expenses increased by 5.4%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EUR 5,199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EUR 4,931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primarily</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due to higher costs in the Construction Business Division in line with the activity increase explained above and in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Highways Business Division mainly from US Managed Lanes increase on traffic and higher revenue share in NTE,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NTE 35W and I-77.</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Personnel expenses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Personnel expenses increased by 4.9%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w:t>
      </w:r>
      <w:r>
        <w:rPr>
          <w:rFonts w:ascii="Times New Roman;serif" w:hAnsi="Times New Roman;serif"/>
          <w:b w:val="false"/>
          <w:i w:val="false"/>
          <w:caps w:val="false"/>
          <w:smallCaps w:val="false"/>
          <w:strike w:val="false"/>
          <w:dstrike w:val="false"/>
          <w:sz w:val="20"/>
          <w:u w:val="none"/>
          <w:effect w:val="none"/>
        </w:rPr>
        <w:t>R 1,847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EUR 1,760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This was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primarily driven by an average generalized salary increase of approximately 3.5% with respect to the prior year.</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Fixed asset depreciation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Fixed asset depreciati</w:t>
      </w:r>
      <w:r>
        <w:rPr>
          <w:rFonts w:ascii="Times New Roman;serif" w:hAnsi="Times New Roman;serif"/>
          <w:b w:val="false"/>
          <w:i w:val="false"/>
          <w:caps w:val="false"/>
          <w:smallCaps w:val="false"/>
          <w:strike w:val="false"/>
          <w:dstrike w:val="false"/>
          <w:sz w:val="20"/>
          <w:u w:val="none"/>
          <w:effect w:val="none"/>
        </w:rPr>
        <w:t xml:space="preserve">on </w:t>
      </w:r>
      <w:r>
        <w:rPr>
          <w:rFonts w:ascii="Times New Roman;serif" w:hAnsi="Times New Roman;serif"/>
          <w:b w:val="false"/>
          <w:i w:val="false"/>
          <w:caps w:val="false"/>
          <w:smallCaps w:val="false"/>
          <w:strike w:val="false"/>
          <w:dstrike w:val="false"/>
          <w:sz w:val="20"/>
          <w:u w:val="none"/>
          <w:effect w:val="none"/>
          <w:shd w:fill="FFFFFF" w:val="clear"/>
        </w:rPr>
        <w:t>increased by 11.1%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EUR 490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441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 primarily</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due to traffic increase and replacement investments in the Highways Busi</w:t>
      </w:r>
      <w:r>
        <w:rPr>
          <w:rFonts w:ascii="Times New Roman;serif" w:hAnsi="Times New Roman;serif"/>
          <w:b w:val="false"/>
          <w:i w:val="false"/>
          <w:caps w:val="false"/>
          <w:smallCaps w:val="false"/>
          <w:strike w:val="false"/>
          <w:dstrike w:val="false"/>
          <w:sz w:val="20"/>
          <w:u w:val="none"/>
          <w:effect w:val="none"/>
        </w:rPr>
        <w:t>ness Division.</w:t>
      </w:r>
    </w:p>
    <w:p>
      <w:pPr>
        <w:pStyle w:val="TextBody"/>
        <w:bidi w:val="0"/>
        <w:spacing w:lineRule="atLeast" w:line="200" w:before="0" w:after="0"/>
        <w:jc w:val="left"/>
        <w:rPr/>
      </w:pPr>
      <w:r>
        <w:rPr>
          <w:rFonts w:ascii="Times New Roman;serif" w:hAnsi="Times New Roman;serif"/>
          <w:b/>
          <w:i/>
          <w:strike w:val="false"/>
          <w:dstrike w:val="false"/>
          <w:sz w:val="20"/>
          <w:u w:val="none"/>
          <w:effect w:val="none"/>
          <w:shd w:fill="FFFFFF" w:val="clear"/>
        </w:rPr>
        <w:t>Impairme</w:t>
      </w:r>
      <w:r>
        <w:rPr>
          <w:rFonts w:ascii="Times New Roman;serif" w:hAnsi="Times New Roman;serif"/>
          <w:b/>
          <w:i/>
          <w:strike w:val="false"/>
          <w:dstrike w:val="false"/>
          <w:sz w:val="20"/>
          <w:u w:val="none"/>
          <w:effect w:val="none"/>
        </w:rPr>
        <w:t>nt and disposal of fixed assets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Impairment and disposal of fixed assets decreased to income of EUR 210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an income of EUR</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2,208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million in 2024, which was primarily driven by the sale of our 50% stake in AGS, and the sale </w:t>
      </w:r>
      <w:r>
        <w:rPr>
          <w:rFonts w:ascii="Times New Roman;serif" w:hAnsi="Times New Roman;serif"/>
          <w:b w:val="false"/>
          <w:i w:val="false"/>
          <w:caps w:val="false"/>
          <w:smallCaps w:val="false"/>
          <w:strike w:val="false"/>
          <w:dstrike w:val="false"/>
          <w:sz w:val="20"/>
          <w:u w:val="none"/>
          <w:effect w:val="none"/>
        </w:rPr>
        <w:t>of the services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business in Chile</w:t>
      </w:r>
      <w:r>
        <w:rPr>
          <w:rFonts w:ascii="Times New Roman;serif" w:hAnsi="Times New Roman;serif"/>
          <w:b w:val="false"/>
          <w:i w:val="false"/>
          <w:caps w:val="false"/>
          <w:smallCaps w:val="false"/>
          <w:strike w:val="false"/>
          <w:dstrike w:val="false"/>
          <w:sz w:val="20"/>
          <w:u w:val="none"/>
          <w:effect w:val="none"/>
          <w:shd w:fill="FFFFFF" w:val="clear"/>
        </w:rPr>
        <w:t>, which resulted in capital gains before taxes of EUR 272 million and a capital loss of EUR 14</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million, respectively. Impairment and disposal of fixed assets of EUR 2,208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was primarily driven by</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the sale of our 19.75% stake in HAH, our 5.0% stake in IRB and the sale of our 24.78% stake in Grupo Serveo, which</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resulted in capital gains before taxes of EUR 2,023 million and EUR 132 million and EUR 33 million, respectively.</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Net financial income/(expense) from infrastructure projects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Net financial expense from infrastructure projects increased by 3.2%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a loss of EUR 424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a loss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of EUR 411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w</w:t>
      </w:r>
      <w:r>
        <w:rPr>
          <w:rFonts w:ascii="Times New Roman;serif" w:hAnsi="Times New Roman;serif"/>
          <w:b w:val="false"/>
          <w:i w:val="false"/>
          <w:caps w:val="false"/>
          <w:smallCaps w:val="false"/>
          <w:strike w:val="false"/>
          <w:dstrike w:val="false"/>
          <w:color w:val="231F20"/>
          <w:sz w:val="20"/>
          <w:u w:val="none"/>
          <w:effect w:val="none"/>
        </w:rPr>
        <w:t>hich was</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primarily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driven</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by:</w:t>
      </w:r>
    </w:p>
    <w:p>
      <w:pPr>
        <w:pStyle w:val="TextBody"/>
        <w:bidi w:val="0"/>
        <w:spacing w:lineRule="atLeast" w:line="220" w:before="0" w:after="0"/>
        <w:jc w:val="both"/>
        <w:rPr>
          <w:u w:val="single"/>
        </w:rPr>
      </w:pPr>
      <w:r>
        <w:rPr>
          <w:strike w:val="false"/>
          <w:dstrike w:val="false"/>
          <w:color w:val="231F20"/>
          <w:u w:val="none"/>
          <w:effect w:val="none"/>
        </w:rPr>
        <w:t>▪</w:t>
      </w:r>
      <w:r>
        <w:rPr>
          <w:rFonts w:ascii="Times New Roman;serif" w:hAnsi="Times New Roman;serif"/>
          <w:b w:val="false"/>
          <w:i w:val="false"/>
          <w:caps w:val="false"/>
          <w:smallCaps w:val="false"/>
          <w:strike w:val="false"/>
          <w:dstrike w:val="false"/>
          <w:sz w:val="20"/>
          <w:u w:val="none"/>
          <w:effect w:val="none"/>
        </w:rPr>
        <w:t>an increase of 2.7%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net financial expense financing, which amounted to EUR 348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 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compared to EUR 339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w</w:t>
      </w:r>
      <w:r>
        <w:rPr>
          <w:rFonts w:ascii="Times New Roman;serif" w:hAnsi="Times New Roman;serif"/>
          <w:b w:val="false"/>
          <w:i w:val="false"/>
          <w:caps w:val="false"/>
          <w:smallCaps w:val="false"/>
          <w:strike w:val="false"/>
          <w:dstrike w:val="false"/>
          <w:color w:val="231F20"/>
          <w:sz w:val="20"/>
          <w:u w:val="none"/>
          <w:effect w:val="none"/>
        </w:rPr>
        <w:t>hich was</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primarily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driven</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by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 xml:space="preserve">the </w:t>
      </w:r>
      <w:r>
        <w:rPr>
          <w:rFonts w:ascii="Times New Roman;serif" w:hAnsi="Times New Roman;serif"/>
          <w:b w:val="false"/>
          <w:i w:val="false"/>
          <w:caps w:val="false"/>
          <w:smallCaps w:val="false"/>
          <w:strike w:val="false"/>
          <w:dstrike w:val="false"/>
          <w:sz w:val="20"/>
          <w:u w:val="none"/>
          <w:effect w:val="none"/>
        </w:rPr>
        <w:t>Energy Infrastructure business</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assets commencement of operations; and</w:t>
      </w:r>
    </w:p>
    <w:p>
      <w:pPr>
        <w:pStyle w:val="TextBody"/>
        <w:bidi w:val="0"/>
        <w:spacing w:lineRule="atLeast" w:line="220" w:before="0" w:after="0"/>
        <w:jc w:val="both"/>
        <w:rPr>
          <w:u w:val="single"/>
        </w:rPr>
      </w:pPr>
      <w:r>
        <w:rPr>
          <w:strike w:val="false"/>
          <w:dstrike w:val="false"/>
          <w:color w:val="231F20"/>
          <w:u w:val="none"/>
          <w:effect w:val="none"/>
        </w:rPr>
        <w:t>▪</w:t>
      </w:r>
      <w:r>
        <w:rPr>
          <w:rFonts w:ascii="Times New Roman;serif" w:hAnsi="Times New Roman;serif"/>
          <w:b w:val="false"/>
          <w:i w:val="false"/>
          <w:caps w:val="false"/>
          <w:smallCaps w:val="false"/>
          <w:strike w:val="false"/>
          <w:dstrike w:val="false"/>
          <w:sz w:val="20"/>
          <w:u w:val="none"/>
          <w:effect w:val="none"/>
        </w:rPr>
        <w:t>an increase of 5.6%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loss on derivatives and other net financial (expense) to a loss of EUR 76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2025, as compared to a loss of EUR 72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including</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EUR 67 million corresponding to the</w:t>
      </w:r>
      <w:r>
        <w:rPr>
          <w:caps w:val="false"/>
          <w:smallCaps w:val="false"/>
          <w:strike w:val="false"/>
          <w:dstrike w:val="false"/>
          <w:color w:val="231F20"/>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rPr>
        <w:t>financial update of the future payment commitments in relation to our concession arrangements in I-66 and</w:t>
      </w:r>
      <w:r>
        <w:rPr>
          <w:caps w:val="false"/>
          <w:smallCaps w:val="false"/>
          <w:strike w:val="false"/>
          <w:dstrike w:val="false"/>
          <w:color w:val="231F20"/>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Dalaman, with no significant deviations compared to 2024.</w:t>
      </w:r>
    </w:p>
    <w:p>
      <w:pPr>
        <w:pStyle w:val="TextBody"/>
        <w:bidi w:val="0"/>
        <w:spacing w:lineRule="atLeast" w:line="200" w:before="0" w:after="0"/>
        <w:jc w:val="left"/>
        <w:rPr/>
      </w:pPr>
      <w:r>
        <w:rPr>
          <w:rFonts w:ascii="Times New Roman;serif" w:hAnsi="Times New Roman;serif"/>
          <w:b/>
          <w:i/>
          <w:strike w:val="false"/>
          <w:dstrike w:val="false"/>
          <w:sz w:val="20"/>
          <w:u w:val="none"/>
          <w:effect w:val="none"/>
          <w:shd w:fill="FFFFFF" w:val="clear"/>
        </w:rPr>
        <w:t>Net financial inco</w:t>
      </w:r>
      <w:r>
        <w:rPr>
          <w:rFonts w:ascii="Times New Roman;serif" w:hAnsi="Times New Roman;serif"/>
          <w:b/>
          <w:i/>
          <w:strike w:val="false"/>
          <w:dstrike w:val="false"/>
          <w:sz w:val="20"/>
          <w:u w:val="none"/>
          <w:effect w:val="none"/>
        </w:rPr>
        <w:t>me/(expense) from ex-infrastructure projects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Net financial income from ex-infrastructure projects decreased to EUR 59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685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w:t>
      </w:r>
      <w:r>
        <w:rPr>
          <w:caps w:val="false"/>
          <w:smallCaps w:val="false"/>
          <w:strike w:val="false"/>
          <w:dstrike w:val="false"/>
          <w:sz w:val="24"/>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2024, which was primarily due to:</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a decrease in net financial income from financing, which amounted to EUR 57 million in 2025 from EUR 74</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million in 2024, primarily driven by lower cash remuneration derived from lower interest rates, partially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offset by lower expenses due to lower debt levels; and</w:t>
      </w:r>
      <w:r>
        <w:rPr>
          <w:caps w:val="false"/>
          <w:smallCaps w:val="false"/>
          <w:strike w:val="false"/>
          <w:dstrike w:val="false"/>
          <w:u w:val="none"/>
          <w:effect w:val="none"/>
        </w:rPr>
        <w:t xml:space="preserve"> </w:t>
      </w:r>
    </w:p>
    <w:p>
      <w:pPr>
        <w:pStyle w:val="TextBody"/>
        <w:bidi w:val="0"/>
        <w:spacing w:lineRule="atLeast" w:line="220" w:before="0" w:after="0"/>
        <w:jc w:val="both"/>
        <w:rPr>
          <w:u w:val="single"/>
        </w:rPr>
      </w:pPr>
      <w:r>
        <w:rPr>
          <w:strike w:val="false"/>
          <w:dstrike w:val="false"/>
          <w:color w:val="231F20"/>
          <w:u w:val="none"/>
          <w:effect w:val="none"/>
        </w:rPr>
        <w:t>▪</w:t>
      </w:r>
      <w:r>
        <w:rPr>
          <w:rFonts w:ascii="Times New Roman;serif" w:hAnsi="Times New Roman;serif"/>
          <w:b w:val="false"/>
          <w:i w:val="false"/>
          <w:caps w:val="false"/>
          <w:smallCaps w:val="false"/>
          <w:strike w:val="false"/>
          <w:dstrike w:val="false"/>
          <w:sz w:val="20"/>
          <w:u w:val="none"/>
          <w:effect w:val="none"/>
        </w:rPr>
        <w:t>an decrease in profit on derivatives and other net financial income, which was EUR 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compared to EUR 611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impacted by the revaluation of the remaining 5.25% Heathrow</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Airports Holdings stake in 2024.</w:t>
      </w: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Net financial income/(expense)</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Net financial expense decreased by 233.2%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an expense of EUR 365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an income of EUR 274</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 xml:space="preserve">million in 2024, </w:t>
      </w:r>
      <w:r>
        <w:rPr>
          <w:rFonts w:ascii="Times New Roman;serif" w:hAnsi="Times New Roman;serif"/>
          <w:b w:val="false"/>
          <w:i w:val="false"/>
          <w:caps w:val="false"/>
          <w:smallCaps w:val="false"/>
          <w:strike w:val="false"/>
          <w:dstrike w:val="false"/>
          <w:color w:val="231F20"/>
          <w:sz w:val="20"/>
          <w:u w:val="none"/>
          <w:effect w:val="none"/>
        </w:rPr>
        <w:t>primarily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due</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to</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 xml:space="preserve">the </w:t>
      </w:r>
      <w:r>
        <w:rPr>
          <w:rFonts w:ascii="Times New Roman;serif" w:hAnsi="Times New Roman;serif"/>
          <w:b w:val="false"/>
          <w:i w:val="false"/>
          <w:caps w:val="false"/>
          <w:smallCaps w:val="false"/>
          <w:strike w:val="false"/>
          <w:dstrike w:val="false"/>
          <w:sz w:val="20"/>
          <w:u w:val="none"/>
          <w:effect w:val="none"/>
        </w:rPr>
        <w:t>revaluation of the remaining 5.25% Heathrow Airports Holdings stake in 2024</w:t>
      </w:r>
      <w:r>
        <w:rPr>
          <w:rFonts w:ascii="Times New Roman;serif" w:hAnsi="Times New Roman;serif"/>
          <w:b w:val="false"/>
          <w:i w:val="false"/>
          <w:caps w:val="false"/>
          <w:smallCaps w:val="false"/>
          <w:strike w:val="false"/>
          <w:dstrike w:val="false"/>
          <w:color w:val="231F20"/>
          <w:sz w:val="20"/>
          <w:u w:val="none"/>
          <w:effect w:val="none"/>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Share of profits of equity-accounted companies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Share of profits of equity-accounted companies increased by 8.4%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EUR 258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238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in 2024, primarily due to the contribution to results from </w:t>
      </w:r>
      <w:r>
        <w:rPr>
          <w:rFonts w:ascii="Times New Roman;serif" w:hAnsi="Times New Roman;serif"/>
          <w:b w:val="false"/>
          <w:i w:val="false"/>
          <w:caps w:val="false"/>
          <w:smallCaps w:val="false"/>
          <w:strike w:val="false"/>
          <w:dstrike w:val="false"/>
          <w:color w:val="231F20"/>
          <w:sz w:val="20"/>
          <w:u w:val="none"/>
          <w:effect w:val="none"/>
          <w:shd w:fill="FFFFFF" w:val="clear"/>
        </w:rPr>
        <w:t>407</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ETR</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(EUR</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217</w:t>
      </w:r>
      <w:r>
        <w:rPr>
          <w:caps w:val="false"/>
          <w:smallCaps w:val="false"/>
          <w:sz w:val="24"/>
          <w:u w:val="single"/>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million),</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IRB</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(EUR</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25</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million), JFK NTO</w:t>
      </w:r>
      <w:r>
        <w:rPr>
          <w:caps w:val="false"/>
          <w:smallCaps w:val="false"/>
          <w:strike w:val="false"/>
          <w:dstrike w:val="false"/>
          <w:color w:val="231F20"/>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color w:val="231F20"/>
          <w:sz w:val="20"/>
          <w:u w:val="none"/>
          <w:effect w:val="none"/>
          <w:shd w:fill="FFFFFF" w:val="clear"/>
        </w:rPr>
        <w:t>(EUR 4</w:t>
      </w:r>
      <w:r>
        <w:rPr>
          <w:caps w:val="false"/>
          <w:smallCaps w:val="false"/>
          <w:sz w:val="24"/>
          <w:u w:val="single"/>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million) and other equity-accounted entities (EUR  18</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million).</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In terms of the overall operational performance, 407 ETR’s revenues increased by 17.8%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CAD 2,009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2025</w:t>
      </w:r>
      <w:r>
        <w:rPr>
          <w:rFonts w:ascii="Times New Roman;serif" w:hAnsi="Times New Roman;serif"/>
          <w:b w:val="false"/>
          <w:i w:val="false"/>
          <w:caps w:val="false"/>
          <w:smallCaps w:val="false"/>
          <w:strike w:val="false"/>
          <w:dstrike w:val="false"/>
          <w:color w:val="231F20"/>
          <w:sz w:val="20"/>
          <w:u w:val="none"/>
          <w:effect w:val="none"/>
        </w:rPr>
        <w:t>,</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which</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was driven</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largely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by the increase in toll rates on February 1, 2025 coupled with higher traffic</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supported by</w:t>
      </w:r>
      <w:r>
        <w:rPr>
          <w:caps w:val="false"/>
          <w:smallCaps w:val="false"/>
          <w:strike w:val="false"/>
          <w:dstrike w:val="false"/>
          <w:color w:val="231F20"/>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rPr>
        <w:t>more targeted rush hour driving offers to alleviate congestion across the Greater Toronto Area during workday peak</w:t>
      </w:r>
      <w:r>
        <w:rPr>
          <w:caps w:val="false"/>
          <w:smallCaps w:val="false"/>
          <w:strike w:val="false"/>
          <w:dstrike w:val="false"/>
          <w:color w:val="231F20"/>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rPr>
        <w:t>hours and an increase in mobility and rush-hour commuting from a higher percentage of on-site employees</w:t>
      </w:r>
      <w:r>
        <w:rPr>
          <w:rFonts w:ascii="Times New Roman;serif" w:hAnsi="Times New Roman;serif"/>
          <w:b w:val="false"/>
          <w:i w:val="false"/>
          <w:caps w:val="false"/>
          <w:smallCaps w:val="false"/>
          <w:strike w:val="false"/>
          <w:dstrike w:val="false"/>
          <w:sz w:val="20"/>
          <w:u w:val="none"/>
          <w:effect w:val="none"/>
          <w:shd w:fill="FFFFFF" w:val="clear"/>
        </w:rPr>
        <w:t>. The 407</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ETR’s net result increased to 17.1%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CAD 811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with our share thereof being CAD 343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217</w:t>
      </w:r>
      <w:r>
        <w:rPr>
          <w:caps w:val="false"/>
          <w:smallCaps w:val="false"/>
          <w:strike w:val="false"/>
          <w:dstrike w:val="false"/>
          <w:sz w:val="24"/>
          <w:u w:val="none"/>
          <w:effect w:val="none"/>
          <w:shd w:fill="FFFFFF" w:val="clear"/>
        </w:rPr>
        <w:t xml:space="preserve"> </w:t>
      </w:r>
    </w:p>
    <w:p>
      <w:pPr>
        <w:pStyle w:val="TextBody"/>
        <w:bidi w:val="0"/>
        <w:spacing w:lineRule="atLeast" w:line="24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million) in 2025, from CAD 692</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with our share thereof being CAD 278</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(EUR 188</w:t>
      </w:r>
      <w:r>
        <w:rPr>
          <w:caps w:val="false"/>
          <w:smallCaps w:val="false"/>
          <w:sz w:val="24"/>
          <w:u w:val="singl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million) in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trike w:val="false"/>
          <w:dstrike w:val="false"/>
          <w:sz w:val="20"/>
          <w:u w:val="none"/>
          <w:effect w:val="none"/>
          <w:shd w:fill="FFFFFF" w:val="clear"/>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Income tax benefit / (expense)</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Our income tax benefit/(expense) shows a tax benefit of EUR 60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a tax expense of EUR 145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million in 2024. The 2025 benefit is mainly related to the recognition of previously unrecognized tax losses mainly in</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the </w:t>
      </w:r>
      <w:r>
        <w:rPr>
          <w:rFonts w:ascii="Times New Roman;serif" w:hAnsi="Times New Roman;serif"/>
          <w:b w:val="false"/>
          <w:i w:val="false"/>
          <w:caps w:val="false"/>
          <w:smallCaps w:val="false"/>
          <w:strike w:val="false"/>
          <w:dstrike w:val="false"/>
          <w:sz w:val="20"/>
          <w:u w:val="none"/>
          <w:effect w:val="none"/>
          <w:shd w:fill="FFFFFF" w:val="clear"/>
        </w:rPr>
        <w:t xml:space="preserve">US and Spain, </w:t>
      </w:r>
      <w:r>
        <w:rPr>
          <w:rFonts w:ascii="Times New Roman;serif" w:hAnsi="Times New Roman;serif"/>
          <w:b w:val="false"/>
          <w:i w:val="false"/>
          <w:caps w:val="false"/>
          <w:smallCaps w:val="false"/>
          <w:strike w:val="false"/>
          <w:dstrike w:val="false"/>
          <w:sz w:val="20"/>
          <w:u w:val="none"/>
          <w:effect w:val="none"/>
        </w:rPr>
        <w:t>on the back of the annual assessment of the expected recoverability of these assets.</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Profit/(loss) net of tax from discontinued operations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Profit/(loss) net of tax from discontinued operations increased by 42.9%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a profit EUR 20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a</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profit of EUR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which was primarily driven by</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earn-outs from the divested Services Business</w:t>
      </w:r>
      <w:r>
        <w:rPr>
          <w:caps w:val="false"/>
          <w:smallCaps w:val="false"/>
          <w:strike w:val="false"/>
          <w:dstrike w:val="false"/>
          <w:color w:val="231F20"/>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rPr>
        <w:t>Division’s business in accordance with the sale agreements (mainly pertaining to the Spanish infrastructure services</w:t>
      </w:r>
      <w:r>
        <w:rPr>
          <w:caps w:val="false"/>
          <w:smallCaps w:val="false"/>
          <w:strike w:val="false"/>
          <w:dstrike w:val="false"/>
          <w:color w:val="231F20"/>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color w:val="231F20"/>
          <w:sz w:val="20"/>
          <w:u w:val="none"/>
          <w:effect w:val="none"/>
        </w:rPr>
        <w:t xml:space="preserve">businesses). </w:t>
      </w:r>
      <w:r>
        <w:rPr>
          <w:rFonts w:ascii="Times New Roman;serif" w:hAnsi="Times New Roman;serif"/>
          <w:b w:val="false"/>
          <w:i w:val="false"/>
          <w:caps w:val="false"/>
          <w:smallCaps w:val="false"/>
          <w:strike w:val="false"/>
          <w:dstrike w:val="false"/>
          <w:sz w:val="20"/>
          <w:u w:val="none"/>
          <w:effect w:val="none"/>
        </w:rPr>
        <w:t>The profit of EUR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generated in 2024 was primarily driven by the same factors.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Net profit/(loss)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Net profit/(loss) for the year decreased to EUR 1,150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3,490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million in 2024, </w:t>
      </w:r>
      <w:r>
        <w:rPr>
          <w:rFonts w:ascii="Times New Roman;serif" w:hAnsi="Times New Roman;serif"/>
          <w:b w:val="false"/>
          <w:i w:val="false"/>
          <w:caps w:val="false"/>
          <w:smallCaps w:val="false"/>
          <w:strike w:val="false"/>
          <w:dstrike w:val="false"/>
          <w:color w:val="231F20"/>
          <w:sz w:val="20"/>
          <w:u w:val="none"/>
          <w:effect w:val="none"/>
          <w:shd w:fill="FFFFFF" w:val="clear"/>
        </w:rPr>
        <w:t>which</w:t>
      </w:r>
      <w:r>
        <w:rPr>
          <w:caps w:val="false"/>
          <w:smallCaps w:val="false"/>
          <w:strike w:val="false"/>
          <w:dstrike w:val="false"/>
          <w:color w:val="231F20"/>
          <w:sz w:val="24"/>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was</w:t>
      </w:r>
      <w:r>
        <w:rPr>
          <w:caps w:val="false"/>
          <w:smallCaps w:val="false"/>
          <w:strike w:val="false"/>
          <w:dstrike w:val="false"/>
          <w:color w:val="231F20"/>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shd w:fill="FFFFFF" w:val="clear"/>
        </w:rPr>
        <w:t>primarily</w:t>
      </w:r>
      <w:r>
        <w:rPr>
          <w:caps w:val="false"/>
          <w:smallCaps w:val="false"/>
          <w:strike w:val="false"/>
          <w:dstrike w:val="false"/>
          <w:color w:val="231F20"/>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driven</w:t>
      </w:r>
      <w:r>
        <w:rPr>
          <w:caps w:val="false"/>
          <w:smallCaps w:val="false"/>
          <w:strike w:val="false"/>
          <w:dstrike w:val="false"/>
          <w:color w:val="231F20"/>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by</w:t>
      </w:r>
      <w:r>
        <w:rPr>
          <w:caps w:val="false"/>
          <w:smallCaps w:val="false"/>
          <w:strike w:val="false"/>
          <w:dstrike w:val="false"/>
          <w:color w:val="231F20"/>
          <w:u w:val="none"/>
          <w:effect w:val="none"/>
          <w:shd w:fill="FFFFFF" w:val="clear"/>
        </w:rPr>
        <w:t xml:space="preserve"> </w:t>
      </w:r>
      <w:r>
        <w:rPr>
          <w:rFonts w:ascii="Times New Roman;serif" w:hAnsi="Times New Roman;serif"/>
          <w:b w:val="false"/>
          <w:i w:val="false"/>
          <w:caps w:val="false"/>
          <w:smallCaps w:val="false"/>
          <w:strike w:val="false"/>
          <w:dstrike w:val="false"/>
          <w:color w:val="231F20"/>
          <w:sz w:val="20"/>
          <w:u w:val="none"/>
          <w:effect w:val="none"/>
          <w:shd w:fill="FFFFFF" w:val="clear"/>
        </w:rPr>
        <w:t>the sale of the 19.75% stake in Heathrow Airports Holdings in 2024.</w:t>
      </w:r>
    </w:p>
    <w:p>
      <w:pPr>
        <w:pStyle w:val="TextBody"/>
        <w:bidi w:val="0"/>
        <w:spacing w:lineRule="atLeast" w:line="200" w:before="0" w:after="0"/>
        <w:jc w:val="left"/>
        <w:rPr>
          <w:rFonts w:ascii="Times New Roman;serif" w:hAnsi="Times New Roman;serif"/>
          <w:b/>
          <w:i/>
          <w:strike w:val="false"/>
          <w:dstrike w:val="false"/>
          <w:sz w:val="20"/>
          <w:u w:val="none"/>
          <w:effect w:val="none"/>
          <w:shd w:fill="FFFFFF" w:val="clear"/>
        </w:rPr>
      </w:pPr>
      <w:r>
        <w:rPr>
          <w:rFonts w:ascii="Times New Roman;serif" w:hAnsi="Times New Roman;serif"/>
          <w:b/>
          <w:i/>
          <w:strike w:val="false"/>
          <w:dstrike w:val="false"/>
          <w:sz w:val="20"/>
          <w:u w:val="none"/>
          <w:effect w:val="none"/>
          <w:shd w:fill="FFFFFF" w:val="clear"/>
        </w:rPr>
        <w:t>Net profit/(loss) for the year attributed to non-controlling interests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Net profit/(loss) for the year attributed to non-controlling interests increased by  4.4%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to a loss of EUR 262</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a loss of EUR 251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million in 2024, which was primarily due </w:t>
      </w:r>
      <w:r>
        <w:rPr>
          <w:rFonts w:ascii="Times New Roman;serif" w:hAnsi="Times New Roman;serif"/>
          <w:b w:val="false"/>
          <w:i w:val="false"/>
          <w:caps w:val="false"/>
          <w:smallCaps w:val="false"/>
          <w:strike w:val="false"/>
          <w:dstrike w:val="false"/>
          <w:color w:val="231F20"/>
          <w:sz w:val="20"/>
          <w:u w:val="none"/>
          <w:effect w:val="none"/>
          <w:shd w:fill="FFFFFF" w:val="clear"/>
        </w:rPr>
        <w:t>t</w:t>
      </w:r>
      <w:r>
        <w:rPr>
          <w:rFonts w:ascii="Times New Roman;serif" w:hAnsi="Times New Roman;serif"/>
          <w:b w:val="false"/>
          <w:i w:val="false"/>
          <w:caps w:val="false"/>
          <w:smallCaps w:val="false"/>
          <w:strike w:val="false"/>
          <w:dstrike w:val="false"/>
          <w:color w:val="231F20"/>
          <w:sz w:val="20"/>
          <w:u w:val="none"/>
          <w:effect w:val="none"/>
        </w:rPr>
        <w:t>o the Highways</w:t>
      </w:r>
      <w:r>
        <w:rPr>
          <w:caps w:val="false"/>
          <w:smallCaps w:val="false"/>
          <w:strike w:val="false"/>
          <w:dstrike w:val="false"/>
          <w:color w:val="231F20"/>
          <w:sz w:val="24"/>
          <w:u w:val="none"/>
          <w:effect w:val="none"/>
        </w:rPr>
        <w:t xml:space="preserve"> </w:t>
      </w:r>
      <w:r>
        <w:rPr>
          <w:rFonts w:ascii="Times New Roman;serif" w:hAnsi="Times New Roman;serif"/>
          <w:b w:val="false"/>
          <w:i w:val="false"/>
          <w:caps w:val="false"/>
          <w:smallCaps w:val="false"/>
          <w:strike w:val="false"/>
          <w:dstrike w:val="false"/>
          <w:color w:val="231F20"/>
          <w:sz w:val="20"/>
          <w:u w:val="none"/>
          <w:effect w:val="none"/>
        </w:rPr>
        <w:t>Business Division’s non-</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color w:val="231F20"/>
          <w:sz w:val="20"/>
          <w:u w:val="none"/>
          <w:effect w:val="none"/>
        </w:rPr>
      </w:pPr>
      <w:r>
        <w:rPr>
          <w:rFonts w:ascii="Times New Roman;serif" w:hAnsi="Times New Roman;serif"/>
          <w:b w:val="false"/>
          <w:i w:val="false"/>
          <w:caps w:val="false"/>
          <w:smallCaps w:val="false"/>
          <w:strike w:val="false"/>
          <w:dstrike w:val="false"/>
          <w:color w:val="231F20"/>
          <w:sz w:val="20"/>
          <w:u w:val="none"/>
          <w:effect w:val="none"/>
        </w:rPr>
        <w:t>controlling interests in the U.S.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5.A.6.2Comparison of  the Years Ended December 31, 2024 and December 31, 2023</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Please refer to “Item 5. Operating and Financial Review and Prospects—A. Operating Results—6. Results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Operations—1. Comparison of the Years Ended December 31, 2024 and December 31, 2023” under our 2024 20-F,</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filed with the Commission on February 28, 2025.</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5.A.7Segment Reporting</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The tables below show our income statement for the years ended December 31,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2024, by reporting segments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a</w:t>
      </w:r>
      <w:r>
        <w:rPr>
          <w:rFonts w:ascii="Times New Roman;serif" w:hAnsi="Times New Roman;serif"/>
          <w:b w:val="false"/>
          <w:i w:val="false"/>
          <w:caps w:val="false"/>
          <w:smallCaps w:val="false"/>
          <w:strike w:val="false"/>
          <w:dstrike w:val="false"/>
          <w:sz w:val="20"/>
          <w:u w:val="none"/>
          <w:effect w:val="none"/>
        </w:rPr>
        <w:t>nd total sales by geographic market as well as our assets by geography for the year ended December 31, 2025.</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For the Segmenting Reporting comparison </w:t>
      </w:r>
      <w:r>
        <w:rPr>
          <w:rFonts w:ascii="Times New Roman;serif" w:hAnsi="Times New Roman;serif"/>
          <w:b w:val="false"/>
          <w:i w:val="false"/>
          <w:caps w:val="false"/>
          <w:smallCaps w:val="false"/>
          <w:strike w:val="false"/>
          <w:dstrike w:val="false"/>
          <w:sz w:val="20"/>
          <w:u w:val="none"/>
          <w:effect w:val="none"/>
          <w:shd w:fill="FFFFFF" w:val="clear"/>
        </w:rPr>
        <w:t>for the years ended December 31, 2024 and 2023, please refer to “Item 5.</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Operating and Financial Review and Prospects—A. Operating Results—7. Segment Reporting” under our 2024 on</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Form 20-F, filed with the Commission on February 28, 2025.</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5.A.7.1Segment reporting</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The tables below show our income statement for the years ended December 31,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and 2024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by reporting segments.</w:t>
      </w:r>
    </w:p>
    <w:tbl>
      <w:tblPr>
        <w:tblW w:w="7298" w:type="dxa"/>
        <w:jc w:val="left"/>
        <w:tblInd w:w="0" w:type="dxa"/>
        <w:tblLayout w:type="fixed"/>
        <w:tblCellMar>
          <w:top w:w="28" w:type="dxa"/>
          <w:left w:w="28" w:type="dxa"/>
          <w:bottom w:w="28" w:type="dxa"/>
          <w:right w:w="28" w:type="dxa"/>
        </w:tblCellMar>
      </w:tblPr>
      <w:tblGrid>
        <w:gridCol w:w="2461"/>
        <w:gridCol w:w="886"/>
        <w:gridCol w:w="706"/>
        <w:gridCol w:w="616"/>
        <w:gridCol w:w="571"/>
        <w:gridCol w:w="556"/>
        <w:gridCol w:w="946"/>
        <w:gridCol w:w="556"/>
      </w:tblGrid>
      <w:tr>
        <w:trPr/>
        <w:tc>
          <w:tcPr>
            <w:tcW w:w="246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sz w:val="4"/>
                <w:szCs w:val="4"/>
              </w:rPr>
            </w:pPr>
            <w:r>
              <w:rPr>
                <w:sz w:val="4"/>
                <w:szCs w:val="4"/>
              </w:rPr>
            </w:r>
          </w:p>
        </w:tc>
        <w:tc>
          <w:tcPr>
            <w:tcW w:w="4837" w:type="dxa"/>
            <w:gridSpan w:val="7"/>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 2025</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88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Construction</w:t>
            </w:r>
          </w:p>
        </w:tc>
        <w:tc>
          <w:tcPr>
            <w:tcW w:w="70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Highways</w:t>
            </w:r>
          </w:p>
        </w:tc>
        <w:tc>
          <w:tcPr>
            <w:tcW w:w="61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Airports</w:t>
            </w:r>
          </w:p>
        </w:tc>
        <w:tc>
          <w:tcPr>
            <w:tcW w:w="571"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Energy </w:t>
            </w:r>
          </w:p>
        </w:tc>
        <w:tc>
          <w:tcPr>
            <w:tcW w:w="55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pPr>
            <w:r>
              <w:rPr>
                <w:rFonts w:ascii="Times New Roman;serif" w:hAnsi="Times New Roman;serif"/>
                <w:b/>
                <w:i w:val="false"/>
                <w:caps w:val="false"/>
                <w:smallCaps w:val="false"/>
                <w:strike w:val="false"/>
                <w:dstrike w:val="false"/>
                <w:sz w:val="14"/>
                <w:u w:val="none"/>
                <w:effect w:val="none"/>
              </w:rPr>
              <w:t>Other</w:t>
            </w:r>
            <w:r>
              <w:rPr>
                <w:rFonts w:ascii="Times New Roman;serif" w:hAnsi="Times New Roman;serif"/>
                <w:b/>
                <w:i w:val="false"/>
                <w:caps w:val="false"/>
                <w:smallCaps w:val="false"/>
                <w:strike w:val="false"/>
                <w:dstrike w:val="false"/>
                <w:sz w:val="9"/>
                <w:u w:val="none"/>
                <w:effect w:val="none"/>
              </w:rPr>
              <w:t>(1)</w:t>
            </w:r>
          </w:p>
        </w:tc>
        <w:tc>
          <w:tcPr>
            <w:tcW w:w="94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pPr>
            <w:r>
              <w:rPr>
                <w:rFonts w:ascii="Times New Roman;serif" w:hAnsi="Times New Roman;serif"/>
                <w:b/>
                <w:i w:val="false"/>
                <w:caps w:val="false"/>
                <w:smallCaps w:val="false"/>
                <w:strike w:val="false"/>
                <w:dstrike w:val="false"/>
                <w:sz w:val="14"/>
                <w:u w:val="none"/>
                <w:effect w:val="none"/>
              </w:rPr>
              <w:t>Adjustments</w:t>
            </w:r>
            <w:r>
              <w:rPr>
                <w:rFonts w:ascii="Times New Roman;serif" w:hAnsi="Times New Roman;serif"/>
                <w:b/>
                <w:i w:val="false"/>
                <w:caps w:val="false"/>
                <w:smallCaps w:val="false"/>
                <w:strike w:val="false"/>
                <w:dstrike w:val="false"/>
                <w:sz w:val="9"/>
                <w:u w:val="none"/>
                <w:effect w:val="none"/>
              </w:rPr>
              <w:t>(2)</w:t>
            </w:r>
          </w:p>
        </w:tc>
        <w:tc>
          <w:tcPr>
            <w:tcW w:w="55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Total</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4837" w:type="dxa"/>
            <w:gridSpan w:val="7"/>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7,653</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1,374</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111</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339</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460</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(310)</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9,627</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operating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7,142</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385</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75</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336</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537</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(305)</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8,170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amortization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160</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and gains/</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(losses) on disposals of non-</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Operating profit/(loss)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357</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719</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284</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(19)</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(159)</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1,177</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on derivatives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net financial income/</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(52)</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w:t>
            </w:r>
          </w:p>
        </w:tc>
        <w:tc>
          <w:tcPr>
            <w:tcW w:w="94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financial income/(expense)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from financing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126</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(234)</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(237)</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(291)</w:t>
            </w:r>
          </w:p>
        </w:tc>
      </w:tr>
      <w:tr>
        <w:trPr/>
        <w:tc>
          <w:tcPr>
            <w:tcW w:w="246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Net financial income/</w:t>
            </w:r>
          </w:p>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(expense)</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74</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(291)</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99</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(19)</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(228)</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(365)</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 of profits of equity-</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247</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57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r>
      <w:tr>
        <w:trPr/>
        <w:tc>
          <w:tcPr>
            <w:tcW w:w="246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Profit/(loss) before tax from </w:t>
            </w:r>
          </w:p>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continuing operations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431</w:t>
            </w:r>
          </w:p>
        </w:tc>
        <w:tc>
          <w:tcPr>
            <w:tcW w:w="70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675</w:t>
            </w:r>
          </w:p>
        </w:tc>
        <w:tc>
          <w:tcPr>
            <w:tcW w:w="61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394</w:t>
            </w:r>
          </w:p>
        </w:tc>
        <w:tc>
          <w:tcPr>
            <w:tcW w:w="57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(38)</w:t>
            </w:r>
          </w:p>
        </w:tc>
        <w:tc>
          <w:tcPr>
            <w:tcW w:w="55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(387)</w:t>
            </w:r>
          </w:p>
        </w:tc>
        <w:tc>
          <w:tcPr>
            <w:tcW w:w="94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w:t>
            </w:r>
          </w:p>
        </w:tc>
        <w:tc>
          <w:tcPr>
            <w:tcW w:w="55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1,070</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(65)</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w:t>
            </w:r>
          </w:p>
        </w:tc>
        <w:tc>
          <w:tcPr>
            <w:tcW w:w="57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316</w:t>
            </w:r>
          </w:p>
        </w:tc>
        <w:tc>
          <w:tcPr>
            <w:tcW w:w="94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continuing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332</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610</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302</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(71)</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1,130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Net profit/(loss)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332</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610</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302</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(38)</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(51)</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1,150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(profit)/loss for the year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attributed to non-controlling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(177)</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(262)</w:t>
            </w:r>
          </w:p>
        </w:tc>
      </w:tr>
      <w:tr>
        <w:trPr/>
        <w:tc>
          <w:tcPr>
            <w:tcW w:w="246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Net profit/(loss) for the year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attributed to the parent </w:t>
            </w:r>
          </w:p>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company</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241</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433</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307</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(37)</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(51)</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888</w:t>
            </w:r>
          </w:p>
        </w:tc>
      </w:tr>
    </w:tbl>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(1) We use the “other” category to reflect results for companies not assigned to any Business Division, the most significant being Ferrovial</w:t>
      </w:r>
      <w:r>
        <w:rPr>
          <w:caps w:val="false"/>
          <w:smallCaps w:val="false"/>
          <w:strike w:val="false"/>
          <w:dstrike w:val="false"/>
          <w:u w:val="none"/>
          <w:effect w:val="none"/>
        </w:rPr>
        <w:t xml:space="preserve"> </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N.V., the Group’s parent company, as well as the business line Ferrovial Digital Infrastructure and the waste management plants in the United</w:t>
      </w:r>
      <w:r>
        <w:rPr>
          <w:caps w:val="false"/>
          <w:smallCaps w:val="false"/>
          <w:strike w:val="false"/>
          <w:dstrike w:val="false"/>
          <w:u w:val="none"/>
          <w:effect w:val="none"/>
        </w:rPr>
        <w:t xml:space="preserve"> </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Kingdom.</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(2) Adjustments consist of inter-segment sales that are eliminated in the Group’s consolidated financial statements.</w:t>
      </w:r>
    </w:p>
    <w:tbl>
      <w:tblPr>
        <w:tblW w:w="7298" w:type="dxa"/>
        <w:jc w:val="left"/>
        <w:tblInd w:w="0" w:type="dxa"/>
        <w:tblLayout w:type="fixed"/>
        <w:tblCellMar>
          <w:top w:w="28" w:type="dxa"/>
          <w:left w:w="28" w:type="dxa"/>
          <w:bottom w:w="28" w:type="dxa"/>
          <w:right w:w="28" w:type="dxa"/>
        </w:tblCellMar>
      </w:tblPr>
      <w:tblGrid>
        <w:gridCol w:w="2461"/>
        <w:gridCol w:w="886"/>
        <w:gridCol w:w="706"/>
        <w:gridCol w:w="616"/>
        <w:gridCol w:w="571"/>
        <w:gridCol w:w="556"/>
        <w:gridCol w:w="946"/>
        <w:gridCol w:w="556"/>
      </w:tblGrid>
      <w:tr>
        <w:trPr/>
        <w:tc>
          <w:tcPr>
            <w:tcW w:w="246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sz w:val="4"/>
                <w:szCs w:val="4"/>
              </w:rPr>
            </w:pPr>
            <w:r>
              <w:rPr>
                <w:sz w:val="4"/>
                <w:szCs w:val="4"/>
              </w:rPr>
            </w:r>
          </w:p>
        </w:tc>
        <w:tc>
          <w:tcPr>
            <w:tcW w:w="4837" w:type="dxa"/>
            <w:gridSpan w:val="7"/>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 2024</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88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Construction</w:t>
            </w:r>
          </w:p>
        </w:tc>
        <w:tc>
          <w:tcPr>
            <w:tcW w:w="70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Highways</w:t>
            </w:r>
          </w:p>
        </w:tc>
        <w:tc>
          <w:tcPr>
            <w:tcW w:w="61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Airports</w:t>
            </w:r>
          </w:p>
        </w:tc>
        <w:tc>
          <w:tcPr>
            <w:tcW w:w="571"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 xml:space="preserve">Energy </w:t>
            </w:r>
          </w:p>
        </w:tc>
        <w:tc>
          <w:tcPr>
            <w:tcW w:w="55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pPr>
            <w:r>
              <w:rPr>
                <w:rFonts w:ascii="Times New Roman;serif" w:hAnsi="Times New Roman;serif"/>
                <w:b/>
                <w:i w:val="false"/>
                <w:caps w:val="false"/>
                <w:smallCaps w:val="false"/>
                <w:strike w:val="false"/>
                <w:dstrike w:val="false"/>
                <w:sz w:val="14"/>
                <w:u w:val="none"/>
                <w:effect w:val="none"/>
              </w:rPr>
              <w:t>Other</w:t>
            </w:r>
            <w:r>
              <w:rPr>
                <w:rFonts w:ascii="Times New Roman;serif" w:hAnsi="Times New Roman;serif"/>
                <w:b/>
                <w:i w:val="false"/>
                <w:caps w:val="false"/>
                <w:smallCaps w:val="false"/>
                <w:strike w:val="false"/>
                <w:dstrike w:val="false"/>
                <w:sz w:val="9"/>
                <w:u w:val="none"/>
                <w:effect w:val="none"/>
              </w:rPr>
              <w:t>(1)</w:t>
            </w:r>
          </w:p>
        </w:tc>
        <w:tc>
          <w:tcPr>
            <w:tcW w:w="94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pPr>
            <w:r>
              <w:rPr>
                <w:rFonts w:ascii="Times New Roman;serif" w:hAnsi="Times New Roman;serif"/>
                <w:b/>
                <w:i w:val="false"/>
                <w:caps w:val="false"/>
                <w:smallCaps w:val="false"/>
                <w:strike w:val="false"/>
                <w:dstrike w:val="false"/>
                <w:sz w:val="14"/>
                <w:u w:val="none"/>
                <w:effect w:val="none"/>
              </w:rPr>
              <w:t>Adjustments</w:t>
            </w:r>
            <w:r>
              <w:rPr>
                <w:rFonts w:ascii="Times New Roman;serif" w:hAnsi="Times New Roman;serif"/>
                <w:b/>
                <w:i w:val="false"/>
                <w:caps w:val="false"/>
                <w:smallCaps w:val="false"/>
                <w:strike w:val="false"/>
                <w:dstrike w:val="false"/>
                <w:sz w:val="9"/>
                <w:u w:val="none"/>
                <w:effect w:val="none"/>
              </w:rPr>
              <w:t>(2)</w:t>
            </w:r>
          </w:p>
        </w:tc>
        <w:tc>
          <w:tcPr>
            <w:tcW w:w="556"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Total</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4837" w:type="dxa"/>
            <w:gridSpan w:val="7"/>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Revenues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7,236</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1,256</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519</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9,148</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Total operating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6,806</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338</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65</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268</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551</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(222)</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7,806</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amortization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146</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232</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441</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(Impairment) and gains/</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(losses) on disposals of non-</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current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151</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2,025</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2,208</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Operating profit/(loss)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284</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837</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2,029</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(11)</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(28)</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3,109</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on derivatives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net financial income/</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(75)</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627</w:t>
            </w:r>
          </w:p>
        </w:tc>
        <w:tc>
          <w:tcPr>
            <w:tcW w:w="57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539</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financial income/(expense)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from financing</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150</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(215)</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(193)</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(265)</w:t>
            </w:r>
          </w:p>
        </w:tc>
      </w:tr>
      <w:tr>
        <w:trPr/>
        <w:tc>
          <w:tcPr>
            <w:tcW w:w="246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Net financial income/</w:t>
            </w:r>
          </w:p>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(expense)</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116</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(290)</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625</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(8)</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(169)</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274</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 of profits of equity-</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226</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57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94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before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continuing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400</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773</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2,662</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(193)</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3,621</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(142)</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(110)</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94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(145)</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continuing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c>
          <w:tcPr>
            <w:tcW w:w="7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663</w:t>
            </w:r>
          </w:p>
        </w:tc>
        <w:tc>
          <w:tcPr>
            <w:tcW w:w="61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2,665</w:t>
            </w:r>
          </w:p>
        </w:tc>
        <w:tc>
          <w:tcPr>
            <w:tcW w:w="57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(94)</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5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3,476</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Net profit/(loss)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258</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663</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2,665</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(14)</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(80)</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3,490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Net (profit)/loss for the year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attributed to non-controlling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88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(68)</w:t>
            </w:r>
          </w:p>
        </w:tc>
        <w:tc>
          <w:tcPr>
            <w:tcW w:w="70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(160)</w:t>
            </w:r>
          </w:p>
        </w:tc>
        <w:tc>
          <w:tcPr>
            <w:tcW w:w="61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w:t>
            </w:r>
          </w:p>
        </w:tc>
        <w:tc>
          <w:tcPr>
            <w:tcW w:w="57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(251)</w:t>
            </w:r>
          </w:p>
        </w:tc>
      </w:tr>
      <w:tr>
        <w:trPr/>
        <w:tc>
          <w:tcPr>
            <w:tcW w:w="246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Net profit/(loss) for the year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attributed to the parent </w:t>
            </w:r>
          </w:p>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company</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88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190</w:t>
            </w:r>
          </w:p>
        </w:tc>
        <w:tc>
          <w:tcPr>
            <w:tcW w:w="70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503</w:t>
            </w:r>
          </w:p>
        </w:tc>
        <w:tc>
          <w:tcPr>
            <w:tcW w:w="61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2,642</w:t>
            </w:r>
          </w:p>
        </w:tc>
        <w:tc>
          <w:tcPr>
            <w:tcW w:w="57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(14)</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(80)</w:t>
            </w:r>
          </w:p>
        </w:tc>
        <w:tc>
          <w:tcPr>
            <w:tcW w:w="94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w:t>
            </w:r>
          </w:p>
        </w:tc>
        <w:tc>
          <w:tcPr>
            <w:tcW w:w="556"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3,239</w:t>
            </w:r>
          </w:p>
        </w:tc>
      </w:tr>
    </w:tbl>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shd w:fill="FFFFFF" w:val="clear"/>
        </w:rPr>
        <w:t>(1) We use the “other” category to reflect results for companies not assigned to any Business Division, the most significant being Ferrovial</w:t>
      </w:r>
      <w:r>
        <w:rPr>
          <w:caps w:val="false"/>
          <w:smallCaps w:val="false"/>
          <w:strike w:val="false"/>
          <w:dstrike w:val="false"/>
          <w:u w:val="none"/>
          <w:effect w:val="none"/>
          <w:shd w:fill="FFFFFF" w:val="clear"/>
        </w:rPr>
        <w:t xml:space="preserve"> </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shd w:fill="FFFFFF" w:val="clear"/>
        </w:rPr>
        <w:t>N.V., the Group’s parent company</w:t>
      </w:r>
      <w:r>
        <w:rPr>
          <w:rFonts w:ascii="Times New Roman;serif" w:hAnsi="Times New Roman;serif"/>
          <w:b w:val="false"/>
          <w:i w:val="false"/>
          <w:caps w:val="false"/>
          <w:smallCaps w:val="false"/>
          <w:strike w:val="false"/>
          <w:dstrike w:val="false"/>
          <w:sz w:val="16"/>
          <w:u w:val="none"/>
          <w:effect w:val="none"/>
        </w:rPr>
        <w:t>, as well as the business line Ferrovial Digital Infrastructure and the waste management plants in the United</w:t>
      </w:r>
      <w:r>
        <w:rPr>
          <w:caps w:val="false"/>
          <w:smallCaps w:val="false"/>
          <w:strike w:val="false"/>
          <w:dstrike w:val="false"/>
          <w:u w:val="none"/>
          <w:effect w:val="none"/>
        </w:rPr>
        <w:t xml:space="preserve"> </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Kingdom</w:t>
      </w:r>
      <w:r>
        <w:rPr>
          <w:rFonts w:ascii="Times New Roman;serif" w:hAnsi="Times New Roman;serif"/>
          <w:b w:val="false"/>
          <w:i w:val="false"/>
          <w:caps w:val="false"/>
          <w:smallCaps w:val="false"/>
          <w:strike w:val="false"/>
          <w:dstrike w:val="false"/>
          <w:sz w:val="16"/>
          <w:u w:val="none"/>
          <w:effect w:val="none"/>
          <w:shd w:fill="FFFFFF" w:val="clear"/>
        </w:rPr>
        <w:t>.</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(2) Adjustments consist of inter-segment sales that are eliminated in the Group’s consolidated financial</w:t>
      </w:r>
      <w:r>
        <w:rPr>
          <w:caps w:val="false"/>
          <w:smallCaps w:val="false"/>
          <w:strike w:val="false"/>
          <w:dstrike w:val="false"/>
          <w:u w:val="none"/>
          <w:effect w:val="none"/>
          <w:shd w:fill="FFFFFF" w:val="clear"/>
        </w:rPr>
        <w:t xml:space="preserve"> </w:t>
      </w:r>
      <w:r>
        <w:rPr>
          <w:rFonts w:ascii="Times New Roman;serif" w:hAnsi="Times New Roman;serif"/>
          <w:b w:val="false"/>
          <w:i w:val="false"/>
          <w:caps w:val="false"/>
          <w:smallCaps w:val="false"/>
          <w:strike w:val="false"/>
          <w:dstrike w:val="false"/>
          <w:sz w:val="16"/>
          <w:u w:val="none"/>
          <w:effect w:val="none"/>
          <w:shd w:fill="FFFFFF" w:val="clear"/>
        </w:rPr>
        <w:t>statements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shd w:fill="FFFFFF" w:val="clear"/>
        </w:rPr>
      </w:pPr>
      <w:r>
        <w:rPr>
          <w:rFonts w:ascii="Times New Roman;serif" w:hAnsi="Times New Roman;serif"/>
          <w:b/>
          <w:i w:val="false"/>
          <w:caps w:val="false"/>
          <w:smallCaps w:val="false"/>
          <w:strike w:val="false"/>
          <w:dstrike w:val="false"/>
          <w:sz w:val="20"/>
          <w:u w:val="none"/>
          <w:effect w:val="none"/>
          <w:shd w:fill="FFFFFF" w:val="clear"/>
        </w:rPr>
        <w:t>5.A.7.2 Geographic information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We report our revenues based on the following geographic breakdowns: United States, Poland, Spain, United</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Kingdom, Canada and Other.</w:t>
      </w:r>
      <w:r>
        <w:rPr>
          <w:caps w:val="false"/>
          <w:smallCaps w:val="false"/>
          <w:strike w:val="false"/>
          <w:dstrike w:val="false"/>
          <w:u w:val="none"/>
          <w:effect w:val="none"/>
          <w:shd w:fill="FFFFFF" w:val="clear"/>
        </w:rPr>
        <w:t xml:space="preserve"> </w:t>
      </w:r>
    </w:p>
    <w:tbl>
      <w:tblPr>
        <w:tblW w:w="8161" w:type="dxa"/>
        <w:jc w:val="left"/>
        <w:tblInd w:w="0" w:type="dxa"/>
        <w:tblLayout w:type="fixed"/>
        <w:tblCellMar>
          <w:top w:w="28" w:type="dxa"/>
          <w:left w:w="28" w:type="dxa"/>
          <w:bottom w:w="28" w:type="dxa"/>
          <w:right w:w="28" w:type="dxa"/>
        </w:tblCellMar>
      </w:tblPr>
      <w:tblGrid>
        <w:gridCol w:w="5491"/>
        <w:gridCol w:w="1279"/>
        <w:gridCol w:w="1391"/>
      </w:tblGrid>
      <w:tr>
        <w:trPr/>
        <w:tc>
          <w:tcPr>
            <w:tcW w:w="549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5491" w:type="dxa"/>
            <w:tcBorders/>
            <w:vAlign w:val="center"/>
          </w:tcPr>
          <w:p>
            <w:pPr>
              <w:pStyle w:val="TableContents"/>
              <w:bidi w:val="0"/>
              <w:spacing w:before="0" w:after="283"/>
              <w:jc w:val="left"/>
              <w:rPr>
                <w:sz w:val="4"/>
                <w:szCs w:val="4"/>
              </w:rPr>
            </w:pPr>
            <w:r>
              <w:rPr>
                <w:sz w:val="4"/>
                <w:szCs w:val="4"/>
              </w:rPr>
            </w:r>
          </w:p>
        </w:tc>
        <w:tc>
          <w:tcPr>
            <w:tcW w:w="2670"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For the year ended December 31,</w:t>
            </w:r>
          </w:p>
        </w:tc>
      </w:tr>
      <w:tr>
        <w:trPr/>
        <w:tc>
          <w:tcPr>
            <w:tcW w:w="5491" w:type="dxa"/>
            <w:tcBorders/>
            <w:vAlign w:val="center"/>
          </w:tcPr>
          <w:p>
            <w:pPr>
              <w:pStyle w:val="TableContents"/>
              <w:bidi w:val="0"/>
              <w:spacing w:before="0" w:after="283"/>
              <w:jc w:val="left"/>
              <w:rPr>
                <w:sz w:val="4"/>
                <w:szCs w:val="4"/>
              </w:rPr>
            </w:pPr>
            <w:r>
              <w:rPr>
                <w:sz w:val="4"/>
                <w:szCs w:val="4"/>
              </w:rPr>
            </w:r>
          </w:p>
        </w:tc>
        <w:tc>
          <w:tcPr>
            <w:tcW w:w="2670" w:type="dxa"/>
            <w:gridSpan w:val="2"/>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(in millions of euros)</w:t>
            </w:r>
          </w:p>
        </w:tc>
      </w:tr>
      <w:tr>
        <w:trPr/>
        <w:tc>
          <w:tcPr>
            <w:tcW w:w="5491" w:type="dxa"/>
            <w:tcBorders/>
            <w:vAlign w:val="center"/>
          </w:tcPr>
          <w:p>
            <w:pPr>
              <w:pStyle w:val="TableContents"/>
              <w:bidi w:val="0"/>
              <w:spacing w:before="0" w:after="283"/>
              <w:jc w:val="left"/>
              <w:rPr>
                <w:sz w:val="4"/>
                <w:szCs w:val="4"/>
              </w:rPr>
            </w:pPr>
            <w:r>
              <w:rPr>
                <w:sz w:val="4"/>
                <w:szCs w:val="4"/>
              </w:rPr>
            </w:r>
          </w:p>
        </w:tc>
        <w:tc>
          <w:tcPr>
            <w:tcW w:w="127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2025</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2024</w:t>
            </w:r>
          </w:p>
        </w:tc>
      </w:tr>
      <w:tr>
        <w:trPr/>
        <w:tc>
          <w:tcPr>
            <w:tcW w:w="549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5491" w:type="dxa"/>
            <w:tcBorders/>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8"/>
                <w:u w:val="none"/>
                <w:effect w:val="none"/>
                <w:shd w:fill="FFFFFF" w:val="clear"/>
              </w:rPr>
              <w:t>USA</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w:t>
            </w:r>
          </w:p>
        </w:tc>
        <w:tc>
          <w:tcPr>
            <w:tcW w:w="127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3,485</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3,271</w:t>
            </w:r>
          </w:p>
        </w:tc>
      </w:tr>
      <w:tr>
        <w:trPr/>
        <w:tc>
          <w:tcPr>
            <w:tcW w:w="549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shd w:fill="FFFFFF" w:val="clear"/>
              </w:rPr>
              <w:t>Poland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w:t>
            </w:r>
          </w:p>
        </w:tc>
        <w:tc>
          <w:tcPr>
            <w:tcW w:w="127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2,228</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2,119</w:t>
            </w:r>
          </w:p>
        </w:tc>
      </w:tr>
      <w:tr>
        <w:trPr/>
        <w:tc>
          <w:tcPr>
            <w:tcW w:w="549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shd w:fill="FFFFFF" w:val="clear"/>
              </w:rPr>
              <w:t>Spain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w:t>
            </w:r>
          </w:p>
        </w:tc>
        <w:tc>
          <w:tcPr>
            <w:tcW w:w="127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1,891</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1,584</w:t>
            </w:r>
          </w:p>
        </w:tc>
      </w:tr>
      <w:tr>
        <w:trPr/>
        <w:tc>
          <w:tcPr>
            <w:tcW w:w="5491" w:type="dxa"/>
            <w:tcBorders/>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8"/>
                <w:u w:val="none"/>
                <w:effect w:val="none"/>
                <w:shd w:fill="FFFFFF" w:val="clear"/>
              </w:rPr>
              <w:t>UK</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 .</w:t>
            </w:r>
          </w:p>
        </w:tc>
        <w:tc>
          <w:tcPr>
            <w:tcW w:w="127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804</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809</w:t>
            </w:r>
          </w:p>
        </w:tc>
      </w:tr>
      <w:tr>
        <w:trPr/>
        <w:tc>
          <w:tcPr>
            <w:tcW w:w="5491" w:type="dxa"/>
            <w:tcBorders/>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8"/>
                <w:u w:val="none"/>
                <w:effect w:val="none"/>
                <w:shd w:fill="FFFFFF" w:val="clear"/>
              </w:rPr>
              <w:t>Canada</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w:t>
            </w:r>
          </w:p>
        </w:tc>
        <w:tc>
          <w:tcPr>
            <w:tcW w:w="127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371</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246</w:t>
            </w:r>
          </w:p>
        </w:tc>
      </w:tr>
      <w:tr>
        <w:trPr/>
        <w:tc>
          <w:tcPr>
            <w:tcW w:w="549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shd w:fill="FFFFFF" w:val="clear"/>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w:t>
            </w:r>
          </w:p>
        </w:tc>
        <w:tc>
          <w:tcPr>
            <w:tcW w:w="127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848</w:t>
            </w:r>
          </w:p>
        </w:tc>
        <w:tc>
          <w:tcPr>
            <w:tcW w:w="13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1,119</w:t>
            </w:r>
          </w:p>
        </w:tc>
      </w:tr>
      <w:tr>
        <w:trPr/>
        <w:tc>
          <w:tcPr>
            <w:tcW w:w="549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shd w:fill="FFFFFF" w:val="clear"/>
              </w:rPr>
              <w:t>Total revenues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 . . . . . . . . . . . . . . . . . . . . . . . . . . . . . . . . . . . . . . . . . . . . . .</w:t>
            </w:r>
          </w:p>
        </w:tc>
        <w:tc>
          <w:tcPr>
            <w:tcW w:w="127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9,627</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9,148</w:t>
            </w:r>
          </w:p>
        </w:tc>
      </w:tr>
    </w:tbl>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The table below shows our total assets by main geographies for the year ended December 31, 2025:</w:t>
      </w:r>
      <w:r>
        <w:rPr>
          <w:caps w:val="false"/>
          <w:smallCaps w:val="false"/>
          <w:strike w:val="false"/>
          <w:dstrike w:val="false"/>
          <w:u w:val="none"/>
          <w:effect w:val="none"/>
          <w:shd w:fill="FFFFFF" w:val="clear"/>
        </w:rPr>
        <w:t xml:space="preserve"> </w:t>
      </w:r>
    </w:p>
    <w:tbl>
      <w:tblPr>
        <w:tblW w:w="7578" w:type="dxa"/>
        <w:jc w:val="left"/>
        <w:tblInd w:w="0" w:type="dxa"/>
        <w:tblLayout w:type="fixed"/>
        <w:tblCellMar>
          <w:top w:w="28" w:type="dxa"/>
          <w:left w:w="28" w:type="dxa"/>
          <w:bottom w:w="28" w:type="dxa"/>
          <w:right w:w="28" w:type="dxa"/>
        </w:tblCellMar>
      </w:tblPr>
      <w:tblGrid>
        <w:gridCol w:w="5461"/>
        <w:gridCol w:w="1156"/>
        <w:gridCol w:w="961"/>
      </w:tblGrid>
      <w:tr>
        <w:trPr/>
        <w:tc>
          <w:tcPr>
            <w:tcW w:w="546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2025</w:t>
            </w:r>
          </w:p>
        </w:tc>
        <w:tc>
          <w:tcPr>
            <w:tcW w:w="96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 xml:space="preserve">% of total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assets</w:t>
            </w:r>
          </w:p>
        </w:tc>
      </w:tr>
      <w:tr>
        <w:trPr/>
        <w:tc>
          <w:tcPr>
            <w:tcW w:w="5461" w:type="dxa"/>
            <w:tcBorders/>
            <w:vAlign w:val="center"/>
          </w:tcPr>
          <w:p>
            <w:pPr>
              <w:pStyle w:val="TableContents"/>
              <w:bidi w:val="0"/>
              <w:spacing w:before="0" w:after="283"/>
              <w:jc w:val="left"/>
              <w:rPr>
                <w:sz w:val="4"/>
                <w:szCs w:val="4"/>
              </w:rPr>
            </w:pPr>
            <w:r>
              <w:rPr>
                <w:sz w:val="4"/>
                <w:szCs w:val="4"/>
              </w:rPr>
            </w:r>
          </w:p>
        </w:tc>
        <w:tc>
          <w:tcPr>
            <w:tcW w:w="1156"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 xml:space="preserve">(in millions of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euros)</w:t>
            </w:r>
          </w:p>
        </w:tc>
        <w:tc>
          <w:tcPr>
            <w:tcW w:w="9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tcBorders/>
            <w:vAlign w:val="center"/>
          </w:tcPr>
          <w:p>
            <w:pPr>
              <w:pStyle w:val="TableContents"/>
              <w:bidi w:val="0"/>
              <w:spacing w:before="0" w:after="283"/>
              <w:jc w:val="left"/>
              <w:rPr>
                <w:sz w:val="4"/>
                <w:szCs w:val="4"/>
              </w:rPr>
            </w:pPr>
            <w:r>
              <w:rPr>
                <w:sz w:val="4"/>
                <w:szCs w:val="4"/>
              </w:rPr>
            </w:r>
          </w:p>
        </w:tc>
        <w:tc>
          <w:tcPr>
            <w:tcW w:w="115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USA</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15,298</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55.8%</w:t>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Canada</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2,451</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8.9%</w:t>
            </w:r>
          </w:p>
        </w:tc>
      </w:tr>
      <w:tr>
        <w:trPr/>
        <w:tc>
          <w:tcPr>
            <w:tcW w:w="5461" w:type="dxa"/>
            <w:tcBorders/>
            <w:vAlign w:val="center"/>
          </w:tcPr>
          <w:p>
            <w:pPr>
              <w:pStyle w:val="TableContents"/>
              <w:bidi w:val="0"/>
              <w:spacing w:lineRule="atLeast" w:line="185"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Spain</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2,294</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8.4%</w:t>
            </w:r>
          </w:p>
        </w:tc>
      </w:tr>
      <w:tr>
        <w:trPr/>
        <w:tc>
          <w:tcPr>
            <w:tcW w:w="5461" w:type="dxa"/>
            <w:tcBorders/>
            <w:vAlign w:val="center"/>
          </w:tcPr>
          <w:p>
            <w:pPr>
              <w:pStyle w:val="TableContents"/>
              <w:bidi w:val="0"/>
              <w:spacing w:lineRule="atLeast" w:line="185"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Poland</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1,997</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7.3%</w:t>
            </w:r>
          </w:p>
        </w:tc>
      </w:tr>
      <w:tr>
        <w:trPr/>
        <w:tc>
          <w:tcPr>
            <w:tcW w:w="5461" w:type="dxa"/>
            <w:tcBorders/>
            <w:vAlign w:val="center"/>
          </w:tcPr>
          <w:p>
            <w:pPr>
              <w:pStyle w:val="TableContents"/>
              <w:bidi w:val="0"/>
              <w:spacing w:lineRule="atLeast" w:line="185"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Netherlands</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1,893</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6.9%</w:t>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India</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884</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3.2%</w:t>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Turkey</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659</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2.4%</w:t>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UK</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637</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2.3%</w:t>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Chile</w:t>
            </w:r>
            <w:r>
              <w:rPr>
                <w:caps w:val="false"/>
                <w:smallCaps w:val="false"/>
                <w:strike w:val="false"/>
                <w:dstrike w:val="false"/>
                <w:color w:val="B4B4B4"/>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524</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1.9%</w:t>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Australia</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238</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0.9%</w:t>
            </w:r>
          </w:p>
        </w:tc>
      </w:tr>
      <w:tr>
        <w:trPr/>
        <w:tc>
          <w:tcPr>
            <w:tcW w:w="5461" w:type="dxa"/>
            <w:tcBorders/>
            <w:vAlign w:val="center"/>
          </w:tcPr>
          <w:p>
            <w:pPr>
              <w:pStyle w:val="TableContents"/>
              <w:bidi w:val="0"/>
              <w:spacing w:lineRule="atLeast" w:line="180"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Colombia</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w:t>
            </w:r>
          </w:p>
        </w:tc>
        <w:tc>
          <w:tcPr>
            <w:tcW w:w="115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175</w:t>
            </w:r>
          </w:p>
        </w:tc>
        <w:tc>
          <w:tcPr>
            <w:tcW w:w="9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0.6%</w:t>
            </w:r>
          </w:p>
        </w:tc>
      </w:tr>
      <w:tr>
        <w:trPr/>
        <w:tc>
          <w:tcPr>
            <w:tcW w:w="5461" w:type="dxa"/>
            <w:tcBorders/>
            <w:vAlign w:val="center"/>
          </w:tcPr>
          <w:p>
            <w:pPr>
              <w:pStyle w:val="TableContents"/>
              <w:bidi w:val="0"/>
              <w:spacing w:lineRule="atLeast" w:line="185" w:before="0" w:after="0"/>
              <w:jc w:val="both"/>
              <w:rPr>
                <w:u w:val="single"/>
              </w:rPr>
            </w:pPr>
            <w:r>
              <w:rPr>
                <w:rFonts w:ascii="Times New Roman;serif" w:hAnsi="Times New Roman;serif"/>
                <w:b w:val="false"/>
                <w:i w:val="false"/>
                <w:caps w:val="false"/>
                <w:smallCaps w:val="false"/>
                <w:strike w:val="false"/>
                <w:dstrike w:val="false"/>
                <w:color w:val="000000"/>
                <w:sz w:val="18"/>
                <w:u w:val="none"/>
                <w:effect w:val="none"/>
                <w:shd w:fill="FFFFFF" w:val="clear"/>
              </w:rPr>
              <w:t>Other</w:t>
            </w:r>
            <w:r>
              <w:rPr>
                <w:caps w:val="false"/>
                <w:smallCaps w:val="false"/>
                <w:u w:val="singl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 . .</w:t>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369</w:t>
            </w:r>
          </w:p>
        </w:tc>
        <w:tc>
          <w:tcPr>
            <w:tcW w:w="96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shd w:fill="FFFFFF" w:val="clear"/>
              </w:rPr>
            </w:pPr>
            <w:r>
              <w:rPr>
                <w:rFonts w:ascii="Times New Roman;serif" w:hAnsi="Times New Roman;serif"/>
                <w:b w:val="false"/>
                <w:i w:val="false"/>
                <w:caps w:val="false"/>
                <w:smallCaps w:val="false"/>
                <w:strike w:val="false"/>
                <w:dstrike w:val="false"/>
                <w:color w:val="000000"/>
                <w:sz w:val="18"/>
                <w:u w:val="none"/>
                <w:effect w:val="none"/>
                <w:shd w:fill="FFFFFF" w:val="clear"/>
              </w:rPr>
              <w:t>1.3%</w:t>
            </w:r>
          </w:p>
        </w:tc>
      </w:tr>
      <w:tr>
        <w:trPr/>
        <w:tc>
          <w:tcPr>
            <w:tcW w:w="5461" w:type="dxa"/>
            <w:tcBorders/>
            <w:vAlign w:val="center"/>
          </w:tcPr>
          <w:p>
            <w:pPr>
              <w:pStyle w:val="TableContents"/>
              <w:bidi w:val="0"/>
              <w:spacing w:lineRule="atLeast" w:line="185" w:before="0" w:after="0"/>
              <w:jc w:val="left"/>
              <w:rPr/>
            </w:pPr>
            <w:r>
              <w:rPr>
                <w:rFonts w:ascii="Times New Roman;serif" w:hAnsi="Times New Roman;serif"/>
                <w:b/>
                <w:i w:val="false"/>
                <w:caps w:val="false"/>
                <w:smallCaps w:val="false"/>
                <w:strike w:val="false"/>
                <w:dstrike w:val="false"/>
                <w:color w:val="000000"/>
                <w:sz w:val="18"/>
                <w:u w:val="none"/>
                <w:effect w:val="none"/>
                <w:shd w:fill="FFFFFF" w:val="clear"/>
              </w:rPr>
              <w:t>Total Assets</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 . . . . . . . . . . . . . . . . . . . . . . . . . . . . . . . . . . . . . . . . . . . . . . .</w:t>
            </w:r>
          </w:p>
        </w:tc>
        <w:tc>
          <w:tcPr>
            <w:tcW w:w="115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27,420</w:t>
            </w:r>
          </w:p>
        </w:tc>
        <w:tc>
          <w:tcPr>
            <w:tcW w:w="96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shd w:fill="FFFFFF" w:val="clear"/>
              </w:rPr>
            </w:pPr>
            <w:r>
              <w:rPr>
                <w:rFonts w:ascii="Times New Roman;serif" w:hAnsi="Times New Roman;serif"/>
                <w:b/>
                <w:i w:val="false"/>
                <w:caps w:val="false"/>
                <w:smallCaps w:val="false"/>
                <w:strike w:val="false"/>
                <w:dstrike w:val="false"/>
                <w:color w:val="000000"/>
                <w:sz w:val="18"/>
                <w:u w:val="none"/>
                <w:effect w:val="none"/>
                <w:shd w:fill="FFFFFF" w:val="clear"/>
              </w:rPr>
              <w:t>100.0%</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5.A.8 Non-IFRS Measures and Other Key Performance Indicators: Operating Results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evaluating our operating performance, we analyze certain measures of operating results not defined by, 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calculated in accordance with, IFRS: Adjusted EBIT, Adjusted EBIT Margin, Adjusted EBITDA, Comparable 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Like-for-like” (“LfL”) growth, and Order Book. Those measures are not audited and are not a substitute for, or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superior to, reported results presented in accordance with IFRS-IASB.</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These non-IFRS measures should not be considered as alternatives to consolidated result for the period, operating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result, revenue, cash generated from operating activities, or any other performance measures derived in accordance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with IFRS as measures of operating performance or operating cash flows or liquidity.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believe that  the disclosure of these non-IFRS measures is useful to investors and analysts because these metrics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assist investors and analysts in comparing our operating performance across reporting periods on a consistent basis by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excluding items that our management believes are not indicative of our core operating performance. Furthermore,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these non-IFRS measures form the basis of how our executive team and the Board evaluate our performance.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By disclosing these non-IFRS measures, we believe that we create for investors and analysts a greater understanding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of, and an enhanced level of transparency into, some of the means by which our management team operates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evaluates our business and facilitates comparisons of the current period’s results with prior periods. While similar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measures are widely used in the industry in which we operate, the financial measures we use may not be comparable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to similarly titled measures used by other companies, nor are they intended to be substitutes for measures of financial</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or financial position as prepared in accordance with IFRS-IASB.</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Our management uses Adjusted EBIT, Adjusted EBIT Margin, Adjusted EBITDA, Comparable or “LfL” growth,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Order Book as measures of operating performance and in communications with the Board concerning our financial</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For non-IFRS measures relating to our liquidity and capital resources, see “</w:t>
      </w:r>
      <w:r>
        <w:rPr>
          <w:strike w:val="false"/>
          <w:dstrike w:val="false"/>
          <w:u w:val="none"/>
          <w:effect w:val="none"/>
        </w:rPr>
        <w:t>—</w:t>
      </w:r>
      <w:r>
        <w:rPr>
          <w:rFonts w:ascii="Times New Roman;serif" w:hAnsi="Times New Roman;serif"/>
          <w:b w:val="false"/>
          <w:i/>
          <w:strike w:val="false"/>
          <w:dstrike w:val="false"/>
          <w:sz w:val="20"/>
          <w:u w:val="none"/>
          <w:effect w:val="none"/>
        </w:rPr>
        <w:t>B. Liquidity and Capital Resources—6.</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Non-IFRS Measures: Liquidity and Capital Resources.</w:t>
      </w:r>
      <w:r>
        <w:rPr>
          <w:caps w:val="false"/>
          <w:smallCaps w:val="false"/>
          <w:strike w:val="false"/>
          <w:dstrike w:val="false"/>
          <w:u w:val="none"/>
          <w:effect w:val="none"/>
        </w:rPr>
        <w:t>”</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following sections include  figures and comparisons for the years ended December 31, 2025 and 2024. For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 xml:space="preserve">comparison </w:t>
      </w:r>
      <w:r>
        <w:rPr>
          <w:rFonts w:ascii="Times New Roman;serif" w:hAnsi="Times New Roman;serif"/>
          <w:b w:val="false"/>
          <w:i w:val="false"/>
          <w:caps w:val="false"/>
          <w:smallCaps w:val="false"/>
          <w:strike w:val="false"/>
          <w:dstrike w:val="false"/>
          <w:sz w:val="20"/>
          <w:u w:val="none"/>
          <w:effect w:val="none"/>
          <w:shd w:fill="FFFFFF" w:val="clear"/>
        </w:rPr>
        <w:t>for the years ended December 31, 2024 and 2023, please refer to “Item 5. Operating and Financial Review</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 xml:space="preserve">and Prospects—A. Operating Results—8. Non-IFRS Measures: Operating Results” under our </w:t>
      </w:r>
      <w:r>
        <w:rPr>
          <w:rFonts w:ascii="Times New Roman;serif" w:hAnsi="Times New Roman;serif"/>
          <w:b w:val="false"/>
          <w:i w:val="false"/>
          <w:caps w:val="false"/>
          <w:smallCaps w:val="false"/>
          <w:strike w:val="false"/>
          <w:dstrike w:val="false"/>
          <w:sz w:val="20"/>
          <w:u w:val="none"/>
          <w:effect w:val="none"/>
        </w:rPr>
        <w:t>2024 20-F filed with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Commission on February 28, 2025.</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Adjusted EBIT and Adjusted EBIT Margin</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Adjusted EBIT is defined as our net profit/(loss) for the period excluding profit/(loss) net of tax from discontinued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operations, income tax/(expense), share of profits of equity-accounted companies, net financial income/(expense) and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impairment and disposal of fixed assets.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Adjusted EBIT is a non-IFRS financial measure and should not be considered as an alternative to net profit or loss 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any other measure of our financial performance calculated in accordance with IFRS. Adjusted EBIT does not have a</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standardized meaning and, therefore, cannot be compared to Adjusted EBIT of other companies.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Adjusted EBIT has limitations as an analytical tool. Among others, Adjusted EBIT:</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our cash expenditures or future requirements for capital expenditures or contractual</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commitments;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changes in, or cash requirements for, our working capital needs;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the significant interest expense, or the cash requirements necessary to service interest 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principal payments, on our debt, or our proportional interest in the interest expense of our unconsolidated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investments or the cash requirements necessary to service interest or principal payments on the debt borne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by our unconsolidated investments;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our income taxes or the cash requirement to pay our taxes; or our proportional interest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income taxes of our unconsolidated investments or the cash requirements necessary to pay the taxes of our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unconsolidated investments; and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the effect of certain mark-to-market adjustments and non-recurring items or our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proportional interest in the mark-to-market adjustments at our unconsolidated investments.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We do not have control, nor have any legal claim to the portion of the unconsolidated investees’ revenues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expenses allocable to our joint venture partners. As we do not control, but do exercise significant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influence, we account for the unconsolidated investments in accordance with the equity method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accounting. Net earnings from these investments are reflected within our consolidated statements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operations in share of profits of equity-accounted companies. Adjustments related to our proportionate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share from unconsolidated investments include only our proportionate amounts of interest expense,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income taxes, depreciation, amortization and accretion, and mark-to-market adjustments included in share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profits of equity-accounted companies; and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Other companies in our industry may calculate Adjusted EBIT differently than we do, limiting its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usefulness as a comparative measure.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Because of these limitations, Adjusted EBIT should not be considered in isolation or as a substitute for performance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measures calculated in accordance with IFRS.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Adjusted EBIT Margin is defined as Adjusted EBIT divided by our revenues for the relevant period.</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set forth a reconciliation of Adjusted EBIT to our net profit/(loss) for the periods indicated:</w:t>
      </w:r>
    </w:p>
    <w:tbl>
      <w:tblPr>
        <w:tblW w:w="8626" w:type="dxa"/>
        <w:jc w:val="left"/>
        <w:tblInd w:w="0" w:type="dxa"/>
        <w:tblLayout w:type="fixed"/>
        <w:tblCellMar>
          <w:top w:w="28" w:type="dxa"/>
          <w:left w:w="28" w:type="dxa"/>
          <w:bottom w:w="28" w:type="dxa"/>
          <w:right w:w="28" w:type="dxa"/>
        </w:tblCellMar>
      </w:tblPr>
      <w:tblGrid>
        <w:gridCol w:w="5956"/>
        <w:gridCol w:w="1149"/>
        <w:gridCol w:w="1521"/>
      </w:tblGrid>
      <w:tr>
        <w:trPr/>
        <w:tc>
          <w:tcPr>
            <w:tcW w:w="595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283"/>
              <w:jc w:val="left"/>
              <w:rPr>
                <w:sz w:val="4"/>
                <w:szCs w:val="4"/>
              </w:rPr>
            </w:pPr>
            <w:r>
              <w:rPr>
                <w:sz w:val="4"/>
                <w:szCs w:val="4"/>
              </w:rPr>
            </w:r>
          </w:p>
        </w:tc>
        <w:tc>
          <w:tcPr>
            <w:tcW w:w="2670"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114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52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2670" w:type="dxa"/>
            <w:gridSpan w:val="2"/>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profit/(loss)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 . . . . . . . . . . .</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3,490</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Profit/(loss) net of tax from 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r>
      <w:tr>
        <w:trPr/>
        <w:tc>
          <w:tcPr>
            <w:tcW w:w="5956" w:type="dxa"/>
            <w:tcBorders/>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 . .</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145</w:t>
            </w:r>
          </w:p>
        </w:tc>
      </w:tr>
      <w:tr>
        <w:trPr/>
        <w:tc>
          <w:tcPr>
            <w:tcW w:w="5956" w:type="dxa"/>
            <w:tcBorders/>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8"/>
                <w:u w:val="none"/>
                <w:effect w:val="none"/>
              </w:rPr>
              <w:t>Share of profits of equity-accounted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w:t>
            </w:r>
          </w:p>
        </w:tc>
      </w:tr>
      <w:tr>
        <w:trPr/>
        <w:tc>
          <w:tcPr>
            <w:tcW w:w="5956" w:type="dxa"/>
            <w:tcBorders/>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financial income/(expense)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 . . . . . .</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365</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w:t>
            </w:r>
          </w:p>
        </w:tc>
      </w:tr>
      <w:tr>
        <w:trPr/>
        <w:tc>
          <w:tcPr>
            <w:tcW w:w="595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Impairment and disposal of 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 . . . . . . . . . . . . . . . . . . . . . . . . . . . . . . . .</w:t>
            </w:r>
          </w:p>
        </w:tc>
        <w:tc>
          <w:tcPr>
            <w:tcW w:w="11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c>
          <w:tcPr>
            <w:tcW w:w="15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(2,208)</w:t>
            </w:r>
          </w:p>
        </w:tc>
      </w:tr>
      <w:tr>
        <w:trPr/>
        <w:tc>
          <w:tcPr>
            <w:tcW w:w="5956" w:type="dxa"/>
            <w:tcBorders/>
            <w:vAlign w:val="center"/>
          </w:tcPr>
          <w:p>
            <w:pPr>
              <w:pStyle w:val="TableContents"/>
              <w:bidi w:val="0"/>
              <w:spacing w:lineRule="atLeast" w:line="185" w:before="0" w:after="0"/>
              <w:jc w:val="left"/>
              <w:rPr/>
            </w:pPr>
            <w:r>
              <w:rPr>
                <w:rFonts w:ascii="Times New Roman;serif" w:hAnsi="Times New Roman;serif"/>
                <w:b/>
                <w:i w:val="false"/>
                <w:caps w:val="false"/>
                <w:smallCaps w:val="false"/>
                <w:strike w:val="false"/>
                <w:dstrike w:val="false"/>
                <w:color w:val="000000"/>
                <w:sz w:val="18"/>
                <w:u w:val="none"/>
                <w:effect w:val="none"/>
              </w:rPr>
              <w:t>Adjusted EBIT</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 . . . . . . . . . . . . . . . . . . . . . . . . . . . . . . . . . . . . . . . . . . . . . . . . . .</w:t>
            </w:r>
          </w:p>
        </w:tc>
        <w:tc>
          <w:tcPr>
            <w:tcW w:w="114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967</w:t>
            </w:r>
          </w:p>
        </w:tc>
        <w:tc>
          <w:tcPr>
            <w:tcW w:w="15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901</w:t>
            </w:r>
          </w:p>
        </w:tc>
      </w:tr>
    </w:tbl>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following tables set forth a reconciliation of Adjusted EBIT by Business Division to our net profit/(loss) by</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Business Division for 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p>
    <w:tbl>
      <w:tblPr>
        <w:tblW w:w="7988" w:type="dxa"/>
        <w:jc w:val="left"/>
        <w:tblInd w:w="0" w:type="dxa"/>
        <w:tblLayout w:type="fixed"/>
        <w:tblCellMar>
          <w:top w:w="28" w:type="dxa"/>
          <w:left w:w="28" w:type="dxa"/>
          <w:bottom w:w="28" w:type="dxa"/>
          <w:right w:w="28" w:type="dxa"/>
        </w:tblCellMar>
      </w:tblPr>
      <w:tblGrid>
        <w:gridCol w:w="2461"/>
        <w:gridCol w:w="1051"/>
        <w:gridCol w:w="826"/>
        <w:gridCol w:w="721"/>
        <w:gridCol w:w="541"/>
        <w:gridCol w:w="541"/>
        <w:gridCol w:w="1006"/>
        <w:gridCol w:w="841"/>
      </w:tblGrid>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sz w:val="4"/>
                <w:szCs w:val="4"/>
              </w:rPr>
            </w:pPr>
            <w:r>
              <w:rPr>
                <w:sz w:val="4"/>
                <w:szCs w:val="4"/>
              </w:rPr>
            </w:r>
          </w:p>
        </w:tc>
        <w:tc>
          <w:tcPr>
            <w:tcW w:w="5527" w:type="dxa"/>
            <w:gridSpan w:val="7"/>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 2025</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Construction</w:t>
            </w:r>
          </w:p>
        </w:tc>
        <w:tc>
          <w:tcPr>
            <w:tcW w:w="82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Highways</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Airports</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Energy</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Adjustments</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Adjusted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EBIT</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5527" w:type="dxa"/>
            <w:gridSpan w:val="7"/>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 xml:space="preserve">Net profit/(loss)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332</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610</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302</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w:t>
            </w:r>
          </w:p>
        </w:tc>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65</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(316)</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 of profits of equity-</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(247)</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financial income/(expense)</w:t>
            </w:r>
            <w:r>
              <w:rPr>
                <w:caps w:val="false"/>
                <w:smallCaps w:val="false"/>
              </w:rPr>
              <w:t xml:space="preserve"> </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291</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228</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365</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Impairment and disposal of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w:t>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Adjusted EBIT</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105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351</w:t>
            </w:r>
          </w:p>
        </w:tc>
        <w:tc>
          <w:tcPr>
            <w:tcW w:w="82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719</w:t>
            </w:r>
          </w:p>
        </w:tc>
        <w:tc>
          <w:tcPr>
            <w:tcW w:w="7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14</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(12)</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(100)</w:t>
            </w:r>
          </w:p>
        </w:tc>
        <w:tc>
          <w:tcPr>
            <w:tcW w:w="100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967</w:t>
            </w:r>
          </w:p>
        </w:tc>
      </w:tr>
    </w:tbl>
    <w:tbl>
      <w:tblPr>
        <w:tblW w:w="8093" w:type="dxa"/>
        <w:jc w:val="left"/>
        <w:tblInd w:w="0" w:type="dxa"/>
        <w:tblLayout w:type="fixed"/>
        <w:tblCellMar>
          <w:top w:w="28" w:type="dxa"/>
          <w:left w:w="28" w:type="dxa"/>
          <w:bottom w:w="28" w:type="dxa"/>
          <w:right w:w="28" w:type="dxa"/>
        </w:tblCellMar>
      </w:tblPr>
      <w:tblGrid>
        <w:gridCol w:w="2461"/>
        <w:gridCol w:w="1051"/>
        <w:gridCol w:w="826"/>
        <w:gridCol w:w="721"/>
        <w:gridCol w:w="541"/>
        <w:gridCol w:w="541"/>
        <w:gridCol w:w="1006"/>
        <w:gridCol w:w="946"/>
      </w:tblGrid>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sz w:val="4"/>
                <w:szCs w:val="4"/>
              </w:rPr>
            </w:pPr>
            <w:r>
              <w:rPr>
                <w:sz w:val="4"/>
                <w:szCs w:val="4"/>
              </w:rPr>
            </w:r>
          </w:p>
        </w:tc>
        <w:tc>
          <w:tcPr>
            <w:tcW w:w="5632" w:type="dxa"/>
            <w:gridSpan w:val="7"/>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 2024</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Construction</w:t>
            </w:r>
          </w:p>
        </w:tc>
        <w:tc>
          <w:tcPr>
            <w:tcW w:w="82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Highways</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Airports</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Energy</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Adjustments</w:t>
            </w:r>
          </w:p>
        </w:tc>
        <w:tc>
          <w:tcPr>
            <w:tcW w:w="94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2024</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5632" w:type="dxa"/>
            <w:gridSpan w:val="7"/>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 xml:space="preserve">Net profit/(loss)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663</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2,665</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(80)</w:t>
            </w:r>
          </w:p>
        </w:tc>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3,490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142</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110</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145</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 of profits of equity-</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(226)</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financial income/(expense)</w:t>
            </w:r>
            <w:r>
              <w:rPr>
                <w:caps w:val="false"/>
                <w:smallCaps w:val="false"/>
              </w:rPr>
              <w:t xml:space="preserve"> </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290</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(625)</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169</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Impairment and disposal of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(151)</w:t>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(2,025)</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w:t>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(2,208)</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Adjusted EBIT</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105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284</w:t>
            </w:r>
          </w:p>
        </w:tc>
        <w:tc>
          <w:tcPr>
            <w:tcW w:w="82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686</w:t>
            </w:r>
          </w:p>
        </w:tc>
        <w:tc>
          <w:tcPr>
            <w:tcW w:w="7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4</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(11)</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(60)</w:t>
            </w:r>
          </w:p>
        </w:tc>
        <w:tc>
          <w:tcPr>
            <w:tcW w:w="100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w:t>
            </w:r>
          </w:p>
        </w:tc>
        <w:tc>
          <w:tcPr>
            <w:tcW w:w="94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901</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table below sets out our Adjusted EBIT by Business Division for the years 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w:t>
      </w:r>
    </w:p>
    <w:tbl>
      <w:tblPr>
        <w:tblW w:w="8146" w:type="dxa"/>
        <w:jc w:val="left"/>
        <w:tblInd w:w="0" w:type="dxa"/>
        <w:tblLayout w:type="fixed"/>
        <w:tblCellMar>
          <w:top w:w="28" w:type="dxa"/>
          <w:left w:w="28" w:type="dxa"/>
          <w:bottom w:w="28" w:type="dxa"/>
          <w:right w:w="28" w:type="dxa"/>
        </w:tblCellMar>
      </w:tblPr>
      <w:tblGrid>
        <w:gridCol w:w="5476"/>
        <w:gridCol w:w="639"/>
        <w:gridCol w:w="600"/>
        <w:gridCol w:w="1431"/>
      </w:tblGrid>
      <w:tr>
        <w:trPr/>
        <w:tc>
          <w:tcPr>
            <w:tcW w:w="547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5476" w:type="dxa"/>
            <w:tcBorders/>
            <w:vAlign w:val="center"/>
          </w:tcPr>
          <w:p>
            <w:pPr>
              <w:pStyle w:val="TableContents"/>
              <w:bidi w:val="0"/>
              <w:spacing w:before="0" w:after="283"/>
              <w:jc w:val="left"/>
              <w:rPr>
                <w:sz w:val="4"/>
                <w:szCs w:val="4"/>
              </w:rPr>
            </w:pPr>
            <w:r>
              <w:rPr>
                <w:sz w:val="4"/>
                <w:szCs w:val="4"/>
              </w:rPr>
            </w:r>
          </w:p>
        </w:tc>
        <w:tc>
          <w:tcPr>
            <w:tcW w:w="2670" w:type="dxa"/>
            <w:gridSpan w:val="3"/>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5476" w:type="dxa"/>
            <w:vMerge w:val="restart"/>
            <w:tcBorders/>
            <w:vAlign w:val="center"/>
          </w:tcPr>
          <w:p>
            <w:pPr>
              <w:pStyle w:val="TableContents"/>
              <w:bidi w:val="0"/>
              <w:spacing w:before="0" w:after="283"/>
              <w:jc w:val="left"/>
              <w:rPr>
                <w:sz w:val="4"/>
                <w:szCs w:val="4"/>
              </w:rPr>
            </w:pPr>
            <w:r>
              <w:rPr>
                <w:sz w:val="4"/>
                <w:szCs w:val="4"/>
              </w:rPr>
            </w:r>
          </w:p>
        </w:tc>
        <w:tc>
          <w:tcPr>
            <w:tcW w:w="63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600"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c>
          <w:tcPr>
            <w:tcW w:w="143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 xml:space="preserve">%Variation </w:t>
            </w:r>
          </w:p>
        </w:tc>
      </w:tr>
      <w:tr>
        <w:trPr/>
        <w:tc>
          <w:tcPr>
            <w:tcW w:w="5476" w:type="dxa"/>
            <w:vMerge w:val="continue"/>
            <w:tcBorders/>
            <w:vAlign w:val="center"/>
          </w:tcPr>
          <w:p>
            <w:pPr>
              <w:pStyle w:val="Normal"/>
              <w:bidi w:val="0"/>
              <w:jc w:val="left"/>
              <w:rPr/>
            </w:pPr>
            <w:r>
              <w:rPr/>
            </w:r>
          </w:p>
        </w:tc>
        <w:tc>
          <w:tcPr>
            <w:tcW w:w="2670" w:type="dxa"/>
            <w:gridSpan w:val="3"/>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54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Highways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719</w:t>
            </w:r>
          </w:p>
        </w:tc>
        <w:tc>
          <w:tcPr>
            <w:tcW w:w="60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686</w:t>
            </w:r>
          </w:p>
        </w:tc>
        <w:tc>
          <w:tcPr>
            <w:tcW w:w="143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w:t>
            </w:r>
          </w:p>
        </w:tc>
      </w:tr>
      <w:tr>
        <w:trPr/>
        <w:tc>
          <w:tcPr>
            <w:tcW w:w="54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Airports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60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43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250.0%</w:t>
            </w:r>
          </w:p>
        </w:tc>
      </w:tr>
      <w:tr>
        <w:trPr/>
        <w:tc>
          <w:tcPr>
            <w:tcW w:w="54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Construction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351</w:t>
            </w:r>
          </w:p>
        </w:tc>
        <w:tc>
          <w:tcPr>
            <w:tcW w:w="60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284</w:t>
            </w:r>
          </w:p>
        </w:tc>
        <w:tc>
          <w:tcPr>
            <w:tcW w:w="143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23.6%</w:t>
            </w:r>
          </w:p>
        </w:tc>
      </w:tr>
      <w:tr>
        <w:trPr/>
        <w:tc>
          <w:tcPr>
            <w:tcW w:w="54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Energy</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w:t>
            </w:r>
          </w:p>
        </w:tc>
        <w:tc>
          <w:tcPr>
            <w:tcW w:w="600"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143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(9.1)%</w:t>
            </w:r>
          </w:p>
        </w:tc>
      </w:tr>
      <w:tr>
        <w:trPr/>
        <w:tc>
          <w:tcPr>
            <w:tcW w:w="54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Other</w:t>
            </w:r>
            <w:r>
              <w:rPr>
                <w:rFonts w:ascii="Times New Roman;serif" w:hAnsi="Times New Roman;serif"/>
                <w:b w:val="false"/>
                <w:i w:val="false"/>
                <w:caps w:val="false"/>
                <w:smallCaps w:val="false"/>
                <w:strike w:val="false"/>
                <w:dstrike w:val="false"/>
                <w:sz w:val="12"/>
                <w:u w:val="none"/>
                <w:effect w:val="none"/>
              </w:rPr>
              <w:t>(1)</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63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(105)</w:t>
            </w:r>
          </w:p>
        </w:tc>
        <w:tc>
          <w:tcPr>
            <w:tcW w:w="600"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w:t>
            </w:r>
          </w:p>
        </w:tc>
        <w:tc>
          <w:tcPr>
            <w:tcW w:w="143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(69.4)%</w:t>
            </w:r>
          </w:p>
        </w:tc>
      </w:tr>
      <w:tr>
        <w:trPr/>
        <w:tc>
          <w:tcPr>
            <w:tcW w:w="547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Adjusted EBIT</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63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967</w:t>
            </w:r>
          </w:p>
        </w:tc>
        <w:tc>
          <w:tcPr>
            <w:tcW w:w="600"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901</w:t>
            </w:r>
          </w:p>
        </w:tc>
        <w:tc>
          <w:tcPr>
            <w:tcW w:w="143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7.3%</w:t>
            </w:r>
          </w:p>
        </w:tc>
      </w:tr>
    </w:tbl>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 xml:space="preserve">(1)Other includes management revenues of our headquarters and certain other immaterial non-operating entities, </w:t>
      </w:r>
      <w:r>
        <w:rPr>
          <w:rFonts w:ascii="Times New Roman;serif" w:hAnsi="Times New Roman;serif"/>
          <w:b w:val="false"/>
          <w:i w:val="false"/>
          <w:caps w:val="false"/>
          <w:smallCaps w:val="false"/>
          <w:strike w:val="false"/>
          <w:dstrike w:val="false"/>
          <w:sz w:val="16"/>
          <w:u w:val="none"/>
          <w:effect w:val="none"/>
          <w:shd w:fill="FFFFFF" w:val="clear"/>
        </w:rPr>
        <w:t>including our waste</w:t>
      </w:r>
      <w:r>
        <w:rPr>
          <w:caps w:val="false"/>
          <w:smallCaps w:val="false"/>
          <w:strike w:val="false"/>
          <w:dstrike w:val="false"/>
          <w:u w:val="none"/>
          <w:effect w:val="none"/>
          <w:shd w:fill="FFFFFF" w:val="clear"/>
        </w:rPr>
        <w:t xml:space="preserve"> </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shd w:fill="FFFFFF" w:val="clear"/>
        </w:rPr>
      </w:pPr>
      <w:r>
        <w:rPr>
          <w:rFonts w:ascii="Times New Roman;serif" w:hAnsi="Times New Roman;serif"/>
          <w:b w:val="false"/>
          <w:i w:val="false"/>
          <w:caps w:val="false"/>
          <w:smallCaps w:val="false"/>
          <w:strike w:val="false"/>
          <w:dstrike w:val="false"/>
          <w:sz w:val="16"/>
          <w:u w:val="none"/>
          <w:effect w:val="none"/>
          <w:shd w:fill="FFFFFF" w:val="clear"/>
        </w:rPr>
        <w:t>management plants in the United Kingdom.</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Highways Adjusted EBIT increased to EUR 719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million in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686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 which was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primarily driven by toll rates increases in the US Managed Lanes, partially offset by the increase in depreciation due to</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higher traffic and replacement investments in Texas.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Construction Adjusted EBIT increased to EUR 351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284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 resulting in an</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Adjusted EBIT Margin of 4.6%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as compared to 3.9%</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in 2024. This increase was primarily driven by the</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performance of Budimex and the Spanish operation, supported by settlements related to the completion of several</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significant contracts in 2025.</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Airports Adjusted EBIT increased to EUR 14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4</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 which was mainly</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driven by Vertiports sale in 2024 affecting negatively last year results.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Energy Adjusted EBIT decreased to a loss of  EUR 12</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a loss of EUR 11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which was generally driven by a slight increase in amortization expenses due to increased activity.</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5.A.8.1Adjusted EBITDA</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Adjusted EBITDA is defined as our net profit/(loss) for the period excluding profit/(loss) net of tax from discontinued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operations, income tax benefit /(expense), share of profits of equity-accounted companies, net financial income/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(expense), impairment and disposal of fixed assets and charges for fixed asset and right of use of leases depreciation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amortization.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Adjusted EBITDA is a non-IFRS financial measure and should not be considered as an alternative to net profit or loss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 any other measure of our financial performance calculated in accordance with IFRS. We use Adjusted EBITDA,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addition to Adjusted EBIT, to provide an analysis of our operating results, excluding depreciation and amortization, as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they are non-cash variables, which can vary substantially from company to company depending on accounting policies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accounting valuation of assets. Adjusted EBITDA is used as an approximation to pre-tax operating cash flow and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reflects cash generation before working capital variation.</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Adjusted EBITDA has limitations as an analytical tool. Among others, Adjusted EBITDA:</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our cash expenditures or future requirements for capital expenditures or contractual</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commitments;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changes in, or cash requirements for, our working capital needs;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the significant interest expense, or the cash requirements necessary to service interest or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principal payments, on our debt, or our proportional interest in the interest expense of our unconsolidated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investments or the cash requirements necessary to service interest or principal payments on the debt</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borne by our unconsolidated investments;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our income taxes or the cash requirement to pay our taxes; or our proportional interest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income taxes of our unconsolidated investments or the cash requirements necessary to pay the taxes of</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unconsolidated investments;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depreciation, amortization and accretion which are non-cash charges; or our proportional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interest in depreciation, amortization and accretion of our unconsolidated investments. The assets being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depreciated, amortized and accreted will often have to be replaced in the future, and Adjusted EBITDA</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does not reflect any cash requirements for such replacements; and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does not reflect the effect of certain mark-to-market adjustments and non-recurring items or our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proportional interest in the mark-to-market adjustments at our unconsolidated investments.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We do not have control, nor have any legal claim to the portion of the unconsolidated investees’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revenues and expenses allocable to our joint venture partners. As we do not control, but do exercise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significant influence, we account for the unconsolidated investments in accordance with the equity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method of accounting. Net earnings from these investments are reflected within our consolidated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statements of operations in share of profits of equity-accounted companies. Adjustments related to our</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proportionate share from unconsolidated investments include only our proportionate amounts of interest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expense, income taxes, depreciation, amortization and accretion, and mark-to-market adjustments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included in share of profits of equity-accounted companies; and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Other companies in our industry calculate Adjusted EBITDA differently than we do, limiting its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usefulness as a comparative measure.</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Because of these limitations, Adjusted EBITDA should not be considered in isolation or as a substitute for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measures calculated in accordance with IFRS.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Adjusted EBITDA is a measure which is widely used to track our performance and profitability as well as to evaluate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each of our businesses and the level of debt by comparing the Adjusted EBITDA with Consolidated Net Debt.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However, Adjusted EBITDA does not have a standardized meaning and, therefore, cannot be compared to Adjusted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EBITDA of other companies.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set forth a reconciliation of Adjusted EBITDA to our net profit/(loss) for the periods indicated:</w:t>
      </w:r>
    </w:p>
    <w:tbl>
      <w:tblPr>
        <w:tblW w:w="8056" w:type="dxa"/>
        <w:jc w:val="left"/>
        <w:tblInd w:w="0" w:type="dxa"/>
        <w:tblLayout w:type="fixed"/>
        <w:tblCellMar>
          <w:top w:w="28" w:type="dxa"/>
          <w:left w:w="28" w:type="dxa"/>
          <w:bottom w:w="28" w:type="dxa"/>
          <w:right w:w="28" w:type="dxa"/>
        </w:tblCellMar>
      </w:tblPr>
      <w:tblGrid>
        <w:gridCol w:w="5386"/>
        <w:gridCol w:w="1149"/>
        <w:gridCol w:w="1521"/>
      </w:tblGrid>
      <w:tr>
        <w:trPr/>
        <w:tc>
          <w:tcPr>
            <w:tcW w:w="538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283"/>
              <w:jc w:val="left"/>
              <w:rPr>
                <w:sz w:val="4"/>
                <w:szCs w:val="4"/>
              </w:rPr>
            </w:pPr>
            <w:r>
              <w:rPr>
                <w:sz w:val="4"/>
                <w:szCs w:val="4"/>
              </w:rPr>
            </w:r>
          </w:p>
        </w:tc>
        <w:tc>
          <w:tcPr>
            <w:tcW w:w="2670"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5386" w:type="dxa"/>
            <w:tcBorders/>
            <w:vAlign w:val="center"/>
          </w:tcPr>
          <w:p>
            <w:pPr>
              <w:pStyle w:val="TableContents"/>
              <w:bidi w:val="0"/>
              <w:spacing w:before="0" w:after="283"/>
              <w:jc w:val="left"/>
              <w:rPr>
                <w:sz w:val="4"/>
                <w:szCs w:val="4"/>
              </w:rPr>
            </w:pPr>
            <w:r>
              <w:rPr>
                <w:sz w:val="4"/>
                <w:szCs w:val="4"/>
              </w:rPr>
            </w:r>
          </w:p>
        </w:tc>
        <w:tc>
          <w:tcPr>
            <w:tcW w:w="114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52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5386" w:type="dxa"/>
            <w:tcBorders/>
            <w:vAlign w:val="center"/>
          </w:tcPr>
          <w:p>
            <w:pPr>
              <w:pStyle w:val="TableContents"/>
              <w:bidi w:val="0"/>
              <w:spacing w:before="0" w:after="283"/>
              <w:jc w:val="left"/>
              <w:rPr>
                <w:sz w:val="4"/>
                <w:szCs w:val="4"/>
              </w:rPr>
            </w:pPr>
            <w:r>
              <w:rPr>
                <w:sz w:val="4"/>
                <w:szCs w:val="4"/>
              </w:rPr>
            </w:r>
          </w:p>
        </w:tc>
        <w:tc>
          <w:tcPr>
            <w:tcW w:w="2670" w:type="dxa"/>
            <w:gridSpan w:val="2"/>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profit/(loss)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3,490</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Profit/(loss) net of tax from 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(14)</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145</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Share of profits of equity-accounted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(238)</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financial income/(expense)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365</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(274)</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Impairment and disposal of 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(2,208)</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490</w:t>
            </w:r>
          </w:p>
        </w:tc>
        <w:tc>
          <w:tcPr>
            <w:tcW w:w="15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231F20"/>
                <w:sz w:val="18"/>
                <w:u w:val="none"/>
                <w:effect w:val="none"/>
              </w:rPr>
            </w:pPr>
            <w:r>
              <w:rPr>
                <w:rFonts w:ascii="Times New Roman;serif" w:hAnsi="Times New Roman;serif"/>
                <w:b w:val="false"/>
                <w:i w:val="false"/>
                <w:caps w:val="false"/>
                <w:smallCaps w:val="false"/>
                <w:strike w:val="false"/>
                <w:dstrike w:val="false"/>
                <w:color w:val="231F20"/>
                <w:sz w:val="18"/>
                <w:u w:val="none"/>
                <w:effect w:val="none"/>
              </w:rPr>
              <w:t>441</w:t>
            </w:r>
          </w:p>
        </w:tc>
      </w:tr>
      <w:tr>
        <w:trPr/>
        <w:tc>
          <w:tcPr>
            <w:tcW w:w="538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Adjusted EBITDA</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114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1,457</w:t>
            </w:r>
          </w:p>
        </w:tc>
        <w:tc>
          <w:tcPr>
            <w:tcW w:w="15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231F20"/>
                <w:sz w:val="18"/>
                <w:u w:val="none"/>
                <w:effect w:val="none"/>
              </w:rPr>
            </w:pPr>
            <w:r>
              <w:rPr>
                <w:rFonts w:ascii="Times New Roman;serif" w:hAnsi="Times New Roman;serif"/>
                <w:b/>
                <w:i w:val="false"/>
                <w:caps w:val="false"/>
                <w:smallCaps w:val="false"/>
                <w:strike w:val="false"/>
                <w:dstrike w:val="false"/>
                <w:color w:val="231F20"/>
                <w:sz w:val="18"/>
                <w:u w:val="none"/>
                <w:effect w:val="none"/>
              </w:rPr>
              <w:t>1,342</w:t>
            </w:r>
          </w:p>
        </w:tc>
      </w:tr>
    </w:tbl>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following tables set forth a reconciliation of Adjusted EBITDA by Business Division to our net profit/ (loss) by</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Business Division for the years ended December 31, 2025, and 2024:</w:t>
      </w:r>
    </w:p>
    <w:tbl>
      <w:tblPr>
        <w:tblW w:w="7988" w:type="dxa"/>
        <w:jc w:val="left"/>
        <w:tblInd w:w="0" w:type="dxa"/>
        <w:tblLayout w:type="fixed"/>
        <w:tblCellMar>
          <w:top w:w="28" w:type="dxa"/>
          <w:left w:w="28" w:type="dxa"/>
          <w:bottom w:w="28" w:type="dxa"/>
          <w:right w:w="28" w:type="dxa"/>
        </w:tblCellMar>
      </w:tblPr>
      <w:tblGrid>
        <w:gridCol w:w="2461"/>
        <w:gridCol w:w="1051"/>
        <w:gridCol w:w="826"/>
        <w:gridCol w:w="721"/>
        <w:gridCol w:w="541"/>
        <w:gridCol w:w="541"/>
        <w:gridCol w:w="1006"/>
        <w:gridCol w:w="841"/>
      </w:tblGrid>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sz w:val="4"/>
                <w:szCs w:val="4"/>
              </w:rPr>
            </w:pPr>
            <w:r>
              <w:rPr>
                <w:sz w:val="4"/>
                <w:szCs w:val="4"/>
              </w:rPr>
            </w:r>
          </w:p>
        </w:tc>
        <w:tc>
          <w:tcPr>
            <w:tcW w:w="5527" w:type="dxa"/>
            <w:gridSpan w:val="7"/>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 2025</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Construction</w:t>
            </w:r>
          </w:p>
        </w:tc>
        <w:tc>
          <w:tcPr>
            <w:tcW w:w="82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Highways</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Airports</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Energy</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Adjustments</w:t>
            </w:r>
          </w:p>
        </w:tc>
        <w:tc>
          <w:tcPr>
            <w:tcW w:w="84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Adjusted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EBIT</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5527" w:type="dxa"/>
            <w:gridSpan w:val="7"/>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 xml:space="preserve">Net profit/(loss)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332</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610</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302</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w:t>
            </w:r>
          </w:p>
        </w:tc>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65</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92</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(316)</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 of profits of equity-</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(247)</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financial income/(expense)</w:t>
            </w:r>
            <w:r>
              <w:rPr>
                <w:caps w:val="false"/>
                <w:smallCaps w:val="false"/>
              </w:rPr>
              <w:t xml:space="preserve"> </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291</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228</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365</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Impairment and disposal of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w:t>
            </w:r>
          </w:p>
        </w:tc>
        <w:tc>
          <w:tcPr>
            <w:tcW w:w="82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59</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amortization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160</w:t>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270</w:t>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w:t>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490</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Adjusted EBITDA</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105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511</w:t>
            </w:r>
          </w:p>
        </w:tc>
        <w:tc>
          <w:tcPr>
            <w:tcW w:w="82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989</w:t>
            </w:r>
          </w:p>
        </w:tc>
        <w:tc>
          <w:tcPr>
            <w:tcW w:w="7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36</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(77)</w:t>
            </w:r>
          </w:p>
        </w:tc>
        <w:tc>
          <w:tcPr>
            <w:tcW w:w="100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(5)</w:t>
            </w:r>
          </w:p>
        </w:tc>
        <w:tc>
          <w:tcPr>
            <w:tcW w:w="8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1,457</w:t>
            </w:r>
          </w:p>
        </w:tc>
      </w:tr>
    </w:tbl>
    <w:tbl>
      <w:tblPr>
        <w:tblW w:w="8093" w:type="dxa"/>
        <w:jc w:val="left"/>
        <w:tblInd w:w="0" w:type="dxa"/>
        <w:tblLayout w:type="fixed"/>
        <w:tblCellMar>
          <w:top w:w="28" w:type="dxa"/>
          <w:left w:w="28" w:type="dxa"/>
          <w:bottom w:w="28" w:type="dxa"/>
          <w:right w:w="28" w:type="dxa"/>
        </w:tblCellMar>
      </w:tblPr>
      <w:tblGrid>
        <w:gridCol w:w="2461"/>
        <w:gridCol w:w="1051"/>
        <w:gridCol w:w="826"/>
        <w:gridCol w:w="721"/>
        <w:gridCol w:w="541"/>
        <w:gridCol w:w="541"/>
        <w:gridCol w:w="1006"/>
        <w:gridCol w:w="946"/>
      </w:tblGrid>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283"/>
              <w:jc w:val="left"/>
              <w:rPr>
                <w:sz w:val="4"/>
                <w:szCs w:val="4"/>
              </w:rPr>
            </w:pPr>
            <w:r>
              <w:rPr>
                <w:sz w:val="4"/>
                <w:szCs w:val="4"/>
              </w:rPr>
            </w:r>
          </w:p>
        </w:tc>
        <w:tc>
          <w:tcPr>
            <w:tcW w:w="5632" w:type="dxa"/>
            <w:gridSpan w:val="7"/>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 2024</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105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Construction</w:t>
            </w:r>
          </w:p>
        </w:tc>
        <w:tc>
          <w:tcPr>
            <w:tcW w:w="82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Highways</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Airports</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4"/>
                <w:u w:val="none"/>
                <w:effect w:val="none"/>
              </w:rPr>
            </w:pPr>
            <w:r>
              <w:rPr>
                <w:rFonts w:ascii="Times New Roman;serif" w:hAnsi="Times New Roman;serif"/>
                <w:b/>
                <w:i w:val="false"/>
                <w:caps w:val="false"/>
                <w:smallCaps w:val="false"/>
                <w:strike w:val="false"/>
                <w:dstrike w:val="false"/>
                <w:color w:val="000000"/>
                <w:sz w:val="14"/>
                <w:u w:val="none"/>
                <w:effect w:val="none"/>
              </w:rPr>
              <w:t>Energy</w:t>
            </w:r>
          </w:p>
        </w:tc>
        <w:tc>
          <w:tcPr>
            <w:tcW w:w="541"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tc>
        <w:tc>
          <w:tcPr>
            <w:tcW w:w="100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Adjustments</w:t>
            </w:r>
          </w:p>
        </w:tc>
        <w:tc>
          <w:tcPr>
            <w:tcW w:w="946" w:type="dxa"/>
            <w:tcBorders>
              <w:top w:val="single" w:sz="4" w:space="0" w:color="000000"/>
              <w:bottom w:val="single" w:sz="4"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2024</w:t>
            </w:r>
          </w:p>
        </w:tc>
      </w:tr>
      <w:tr>
        <w:trPr/>
        <w:tc>
          <w:tcPr>
            <w:tcW w:w="2461" w:type="dxa"/>
            <w:tcBorders/>
            <w:vAlign w:val="center"/>
          </w:tcPr>
          <w:p>
            <w:pPr>
              <w:pStyle w:val="TableContents"/>
              <w:bidi w:val="0"/>
              <w:spacing w:before="0" w:after="283"/>
              <w:jc w:val="left"/>
              <w:rPr>
                <w:sz w:val="4"/>
                <w:szCs w:val="4"/>
              </w:rPr>
            </w:pPr>
            <w:r>
              <w:rPr>
                <w:sz w:val="4"/>
                <w:szCs w:val="4"/>
              </w:rPr>
            </w:r>
          </w:p>
        </w:tc>
        <w:tc>
          <w:tcPr>
            <w:tcW w:w="5632" w:type="dxa"/>
            <w:gridSpan w:val="7"/>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color w:val="000000"/>
                <w:sz w:val="18"/>
                <w:u w:val="none"/>
                <w:effect w:val="none"/>
              </w:rPr>
            </w:pPr>
            <w:r>
              <w:rPr>
                <w:rFonts w:ascii="Times New Roman;serif" w:hAnsi="Times New Roman;serif"/>
                <w:b w:val="false"/>
                <w:i/>
                <w:strike w:val="false"/>
                <w:dstrike w:val="false"/>
                <w:color w:val="000000"/>
                <w:sz w:val="18"/>
                <w:u w:val="none"/>
                <w:effect w:val="none"/>
              </w:rPr>
              <w:t>(in millions of euros)</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 xml:space="preserve">Net profit/(loss)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663</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2,665</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(80)</w:t>
            </w:r>
          </w:p>
        </w:tc>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3,490</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Profit/(loss) net of tax from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7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Income tax benefit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142</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110</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(99)</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145</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 of profits of equity-</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(226)</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Net financial income/(expense)</w:t>
            </w:r>
            <w:r>
              <w:rPr>
                <w:caps w:val="false"/>
                <w:smallCaps w:val="false"/>
              </w:rPr>
              <w:t xml:space="preserve"> </w:t>
            </w:r>
          </w:p>
        </w:tc>
        <w:tc>
          <w:tcPr>
            <w:tcW w:w="105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290</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(625)</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169</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Impairment and disposal of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82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(151)</w:t>
            </w:r>
          </w:p>
        </w:tc>
        <w:tc>
          <w:tcPr>
            <w:tcW w:w="7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(2,025)</w:t>
            </w:r>
          </w:p>
        </w:tc>
        <w:tc>
          <w:tcPr>
            <w:tcW w:w="54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54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w:t>
            </w:r>
          </w:p>
        </w:tc>
        <w:tc>
          <w:tcPr>
            <w:tcW w:w="1006"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(2,208)</w:t>
            </w:r>
          </w:p>
        </w:tc>
      </w:tr>
      <w:tr>
        <w:trPr/>
        <w:tc>
          <w:tcPr>
            <w:tcW w:w="246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Depreciation and amortization </w:t>
            </w:r>
          </w:p>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146</w:t>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232</w:t>
            </w:r>
          </w:p>
        </w:tc>
        <w:tc>
          <w:tcPr>
            <w:tcW w:w="7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w:t>
            </w:r>
          </w:p>
        </w:tc>
        <w:tc>
          <w:tcPr>
            <w:tcW w:w="5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w:t>
            </w:r>
          </w:p>
        </w:tc>
        <w:tc>
          <w:tcPr>
            <w:tcW w:w="10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441</w:t>
            </w:r>
          </w:p>
        </w:tc>
      </w:tr>
      <w:tr>
        <w:trPr/>
        <w:tc>
          <w:tcPr>
            <w:tcW w:w="246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Adjusted EBITDA</w:t>
            </w:r>
            <w:r>
              <w:rPr>
                <w:caps w:val="false"/>
                <w:smallCaps w:val="false"/>
              </w:rPr>
              <w:t xml:space="preserve"> </w:t>
            </w:r>
            <w:r>
              <w:rPr>
                <w:rFonts w:ascii="Times New Roman;serif" w:hAnsi="Times New Roman;serif"/>
                <w:b/>
                <w:i w:val="false"/>
                <w:caps w:val="false"/>
                <w:smallCaps w:val="false"/>
                <w:strike w:val="false"/>
                <w:dstrike w:val="false"/>
                <w:color w:val="B4B4B4"/>
                <w:sz w:val="18"/>
                <w:u w:val="none"/>
                <w:effect w:val="none"/>
              </w:rPr>
              <w:t>..................</w:t>
            </w:r>
          </w:p>
        </w:tc>
        <w:tc>
          <w:tcPr>
            <w:tcW w:w="105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430</w:t>
            </w:r>
          </w:p>
        </w:tc>
        <w:tc>
          <w:tcPr>
            <w:tcW w:w="82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918</w:t>
            </w:r>
          </w:p>
        </w:tc>
        <w:tc>
          <w:tcPr>
            <w:tcW w:w="7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26</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w:t>
            </w:r>
          </w:p>
        </w:tc>
        <w:tc>
          <w:tcPr>
            <w:tcW w:w="54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(32)</w:t>
            </w:r>
          </w:p>
        </w:tc>
        <w:tc>
          <w:tcPr>
            <w:tcW w:w="100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w:t>
            </w:r>
          </w:p>
        </w:tc>
        <w:tc>
          <w:tcPr>
            <w:tcW w:w="946"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1,342</w:t>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Our Highways Adjusted EBITDA increased to EUR 989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EUR 918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in 2024, which was</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primarily driven by rates inc</w:t>
      </w:r>
      <w:r>
        <w:rPr>
          <w:rFonts w:ascii="Times New Roman;serif" w:hAnsi="Times New Roman;serif"/>
          <w:b w:val="false"/>
          <w:i w:val="false"/>
          <w:caps w:val="false"/>
          <w:smallCaps w:val="false"/>
          <w:strike w:val="false"/>
          <w:dstrike w:val="false"/>
          <w:sz w:val="20"/>
          <w:u w:val="none"/>
          <w:effect w:val="none"/>
          <w:shd w:fill="FFFFFF" w:val="clear"/>
        </w:rPr>
        <w:t>reases in the US Managed Lanes</w:t>
      </w:r>
      <w:r>
        <w:rPr>
          <w:rFonts w:ascii="Times New Roman;serif" w:hAnsi="Times New Roman;serif"/>
          <w:b w:val="false"/>
          <w:i w:val="false"/>
          <w:caps w:val="false"/>
          <w:smallCaps w:val="false"/>
          <w:strike w:val="false"/>
          <w:dstrike w:val="false"/>
          <w:color w:val="231F20"/>
          <w:sz w:val="20"/>
          <w:u w:val="none"/>
          <w:effect w:val="none"/>
          <w:shd w:fill="FFFFFF" w:val="clear"/>
        </w:rPr>
        <w:t>.</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Construction Adjusted EBITDA increased to EUR 511</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430</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 This</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increase was primarily driven by the performance of Budimex and the Spanish operation, supported by settlements</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related to the completion of several significant contracts in 2025.</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Airports Adjusted EBITDA increased to EUR 36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26</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million in 2024, </w:t>
      </w:r>
      <w:r>
        <w:rPr>
          <w:rFonts w:ascii="Times New Roman;serif" w:hAnsi="Times New Roman;serif"/>
          <w:b w:val="false"/>
          <w:i w:val="false"/>
          <w:caps w:val="false"/>
          <w:smallCaps w:val="false"/>
          <w:strike w:val="false"/>
          <w:dstrike w:val="false"/>
          <w:color w:val="231F20"/>
          <w:sz w:val="20"/>
          <w:u w:val="none"/>
          <w:effect w:val="none"/>
          <w:shd w:fill="FFFFFF" w:val="clear"/>
        </w:rPr>
        <w:t>which was</w:t>
      </w:r>
      <w:r>
        <w:rPr>
          <w:caps w:val="false"/>
          <w:smallCaps w:val="false"/>
          <w:strike w:val="false"/>
          <w:dstrike w:val="false"/>
          <w:color w:val="231F20"/>
          <w:sz w:val="24"/>
          <w:u w:val="none"/>
          <w:effect w:val="none"/>
          <w:shd w:fill="FFFFFF" w:val="clear"/>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color w:val="231F20"/>
          <w:sz w:val="20"/>
          <w:u w:val="none"/>
          <w:effect w:val="none"/>
          <w:shd w:fill="FFFFFF" w:val="clear"/>
        </w:rPr>
        <w:t xml:space="preserve">primarily driven by the </w:t>
      </w:r>
      <w:r>
        <w:rPr>
          <w:rFonts w:ascii="Times New Roman;serif" w:hAnsi="Times New Roman;serif"/>
          <w:b w:val="false"/>
          <w:i w:val="false"/>
          <w:caps w:val="false"/>
          <w:smallCaps w:val="false"/>
          <w:strike w:val="false"/>
          <w:dstrike w:val="false"/>
          <w:sz w:val="20"/>
          <w:u w:val="none"/>
          <w:effect w:val="none"/>
          <w:shd w:fill="FFFFFF" w:val="clear"/>
        </w:rPr>
        <w:t>Vertiports sale in 2024, which negatively impacted the  2024  results.</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shd w:fill="FFFFFF" w:val="clear"/>
        </w:rPr>
        <w:t>Our Energy Adjusted EBITDA increased to EUR 3</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2025</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from EUR 2</w:t>
      </w:r>
      <w:r>
        <w:rPr>
          <w:caps w:val="false"/>
          <w:smallCaps w:val="false"/>
          <w:strike w:val="false"/>
          <w:dstrike w:val="false"/>
          <w:sz w:val="24"/>
          <w:u w:val="none"/>
          <w:effect w:val="none"/>
          <w:shd w:fill="FFFFFF" w:val="clear"/>
        </w:rPr>
        <w:t xml:space="preserve"> </w:t>
      </w:r>
      <w:r>
        <w:rPr>
          <w:rFonts w:ascii="Times New Roman;serif" w:hAnsi="Times New Roman;serif"/>
          <w:b w:val="false"/>
          <w:i w:val="false"/>
          <w:caps w:val="false"/>
          <w:smallCaps w:val="false"/>
          <w:strike w:val="false"/>
          <w:dstrike w:val="false"/>
          <w:sz w:val="20"/>
          <w:u w:val="none"/>
          <w:effect w:val="none"/>
          <w:shd w:fill="FFFFFF" w:val="clear"/>
        </w:rPr>
        <w:t>million in 2024, which was primarily</w:t>
      </w:r>
      <w:r>
        <w:rPr>
          <w:caps w:val="false"/>
          <w:smallCaps w:val="false"/>
          <w:strike w:val="false"/>
          <w:dstrike w:val="false"/>
          <w:sz w:val="24"/>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driven by an increase in all activities.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5.A.8.2Comparable or LfL Growth</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Comparable growth, also referred to as LfL Growth, corresponds to the relative year-on- year variation in comparable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terms of the figures for revenues, Adjusted EBIT and Adjusted EBITDA. LfL Growth is a non-IFRS financial measure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and should not be considered as an alternative to revenues, net income or any other measure of our financial</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performance calculated in accordance with IFRS. LfL Growth is calculated by adjusting each year, in accordance with</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rules: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Elimination of the exchange rate effect, calculating the results of each period at the rate in the current period.</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Elimination from Adjusted EBIT of each period the impact of fixed asset impairments.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 the case of disposals of any of our companies and loss of control thereto, elimination of the operating</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results of the disposed company when the impact effectively occurred in the previous year, or if it occurred</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 the year under analysis, considering the same number of months in both periods, to achieve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homogenization of the operating result.</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Elimination of the restructuring costs in all periods.</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 acquisitions of new companies which are considered material, elimination in the current period of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operating results derived from those companies except in the case where this elimination is not possible due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to the high level of integration with other reporting units. Material companies are those whose revenues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represent ≥5% of the reporting unit’s revenues before the acquisition.</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 the case of changes in the accounting model of a specific contract or asset, when material, application of</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same accounting model to the previous year’s operating result.</w:t>
      </w:r>
    </w:p>
    <w:p>
      <w:pPr>
        <w:pStyle w:val="TextBody"/>
        <w:bidi w:val="0"/>
        <w:spacing w:lineRule="atLeast" w:line="200" w:before="0" w:after="0"/>
        <w:jc w:val="both"/>
        <w:rPr>
          <w:u w:val="singl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Elimination of other extraordinary impacts (mainly related to tax and human resources) considered relevant</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a better understanding of our underlying results in all periods.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use LfL Growth to provide a more homogenous measure of the underlying profitability of its businesses,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excluding extraordinary elements which would induce a misinterpretation of the reported growth, impacts such as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exchange-rate movements, or changes in the consolidation perimeter which distort the comparability of the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information. Additionally, we believe that it allows us to provide homogenous information for better understanding of</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performance of each of our businesses.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shd w:fill="FFFFFF" w:val="clear"/>
        </w:rPr>
        <w:t>The following tables set forth a reconciliation of revenues on like-for-like basis to our revenues for the periods</w:t>
      </w:r>
      <w:r>
        <w:rPr>
          <w:caps w:val="false"/>
          <w:smallCaps w:val="false"/>
          <w:strike w:val="false"/>
          <w:dstrike w:val="false"/>
          <w:u w:val="none"/>
          <w:effect w:val="none"/>
          <w:shd w:fill="FFFFFF" w:val="clear"/>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shd w:fill="FFFFFF" w:val="clear"/>
        </w:rPr>
      </w:pPr>
      <w:r>
        <w:rPr>
          <w:rFonts w:ascii="Times New Roman;serif" w:hAnsi="Times New Roman;serif"/>
          <w:b w:val="false"/>
          <w:i w:val="false"/>
          <w:caps w:val="false"/>
          <w:smallCaps w:val="false"/>
          <w:strike w:val="false"/>
          <w:dstrike w:val="false"/>
          <w:sz w:val="20"/>
          <w:u w:val="none"/>
          <w:effect w:val="none"/>
          <w:shd w:fill="FFFFFF" w:val="clear"/>
        </w:rPr>
        <w:t>indicated:</w:t>
      </w:r>
    </w:p>
    <w:tbl>
      <w:tblPr>
        <w:tblW w:w="9211" w:type="dxa"/>
        <w:jc w:val="left"/>
        <w:tblInd w:w="0" w:type="dxa"/>
        <w:tblLayout w:type="fixed"/>
        <w:tblCellMar>
          <w:top w:w="28" w:type="dxa"/>
          <w:left w:w="28" w:type="dxa"/>
          <w:bottom w:w="28" w:type="dxa"/>
          <w:right w:w="28" w:type="dxa"/>
        </w:tblCellMar>
      </w:tblPr>
      <w:tblGrid>
        <w:gridCol w:w="6541"/>
        <w:gridCol w:w="1279"/>
        <w:gridCol w:w="1391"/>
      </w:tblGrid>
      <w:tr>
        <w:trPr/>
        <w:tc>
          <w:tcPr>
            <w:tcW w:w="654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6541" w:type="dxa"/>
            <w:tcBorders/>
            <w:vAlign w:val="center"/>
          </w:tcPr>
          <w:p>
            <w:pPr>
              <w:pStyle w:val="TableContents"/>
              <w:bidi w:val="0"/>
              <w:spacing w:before="0" w:after="283"/>
              <w:jc w:val="left"/>
              <w:rPr>
                <w:sz w:val="4"/>
                <w:szCs w:val="4"/>
              </w:rPr>
            </w:pPr>
            <w:r>
              <w:rPr>
                <w:sz w:val="4"/>
                <w:szCs w:val="4"/>
              </w:rPr>
            </w:r>
          </w:p>
        </w:tc>
        <w:tc>
          <w:tcPr>
            <w:tcW w:w="2670"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6541" w:type="dxa"/>
            <w:tcBorders/>
            <w:vAlign w:val="center"/>
          </w:tcPr>
          <w:p>
            <w:pPr>
              <w:pStyle w:val="TableContents"/>
              <w:bidi w:val="0"/>
              <w:spacing w:before="0" w:after="283"/>
              <w:jc w:val="left"/>
              <w:rPr>
                <w:sz w:val="4"/>
                <w:szCs w:val="4"/>
              </w:rPr>
            </w:pPr>
            <w:r>
              <w:rPr>
                <w:sz w:val="4"/>
                <w:szCs w:val="4"/>
              </w:rPr>
            </w:r>
          </w:p>
        </w:tc>
        <w:tc>
          <w:tcPr>
            <w:tcW w:w="127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2025</w:t>
            </w:r>
          </w:p>
        </w:tc>
        <w:tc>
          <w:tcPr>
            <w:tcW w:w="139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2024</w:t>
            </w:r>
          </w:p>
        </w:tc>
      </w:tr>
      <w:tr>
        <w:trPr/>
        <w:tc>
          <w:tcPr>
            <w:tcW w:w="6541" w:type="dxa"/>
            <w:tcBorders/>
            <w:vAlign w:val="center"/>
          </w:tcPr>
          <w:p>
            <w:pPr>
              <w:pStyle w:val="TableContents"/>
              <w:bidi w:val="0"/>
              <w:spacing w:before="0" w:after="283"/>
              <w:jc w:val="left"/>
              <w:rPr>
                <w:sz w:val="4"/>
                <w:szCs w:val="4"/>
              </w:rPr>
            </w:pPr>
            <w:r>
              <w:rPr>
                <w:sz w:val="4"/>
                <w:szCs w:val="4"/>
              </w:rPr>
            </w:r>
          </w:p>
        </w:tc>
        <w:tc>
          <w:tcPr>
            <w:tcW w:w="2670" w:type="dxa"/>
            <w:gridSpan w:val="2"/>
            <w:tcBorders>
              <w:top w:val="single" w:sz="4"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strike w:val="false"/>
                <w:dstrike w:val="false"/>
                <w:color w:val="231F20"/>
                <w:sz w:val="16"/>
                <w:u w:val="none"/>
                <w:effect w:val="none"/>
              </w:rPr>
            </w:pPr>
            <w:r>
              <w:rPr>
                <w:rFonts w:ascii="Times New Roman;serif" w:hAnsi="Times New Roman;serif"/>
                <w:b w:val="false"/>
                <w:i/>
                <w:strike w:val="false"/>
                <w:dstrike w:val="false"/>
                <w:color w:val="231F20"/>
                <w:sz w:val="16"/>
                <w:u w:val="none"/>
                <w:effect w:val="none"/>
              </w:rPr>
              <w:t>(in millions of euros)</w:t>
            </w:r>
          </w:p>
        </w:tc>
      </w:tr>
      <w:tr>
        <w:trPr/>
        <w:tc>
          <w:tcPr>
            <w:tcW w:w="6541"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Revenues </w:t>
            </w:r>
          </w:p>
        </w:tc>
        <w:tc>
          <w:tcPr>
            <w:tcW w:w="1279"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9,627</w:t>
            </w:r>
          </w:p>
        </w:tc>
        <w:tc>
          <w:tcPr>
            <w:tcW w:w="1391" w:type="dxa"/>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9,148</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Exchange rate effect</w:t>
            </w:r>
            <w:r>
              <w:rPr>
                <w:rFonts w:ascii="Times New Roman;serif" w:hAnsi="Times New Roman;serif"/>
                <w:b w:val="false"/>
                <w:i w:val="false"/>
                <w:caps w:val="false"/>
                <w:smallCaps w:val="false"/>
                <w:strike w:val="false"/>
                <w:dstrike w:val="false"/>
                <w:sz w:val="12"/>
                <w:u w:val="none"/>
                <w:effect w:val="none"/>
              </w:rPr>
              <w:t>(1)</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279"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91" w:type="dxa"/>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(167)</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Fixed asset impairments</w:t>
            </w:r>
            <w:r>
              <w:rPr>
                <w:rFonts w:ascii="Times New Roman;serif" w:hAnsi="Times New Roman;serif"/>
                <w:b w:val="false"/>
                <w:i w:val="false"/>
                <w:caps w:val="false"/>
                <w:smallCaps w:val="false"/>
                <w:strike w:val="false"/>
                <w:dstrike w:val="false"/>
                <w:sz w:val="12"/>
                <w:u w:val="none"/>
                <w:effect w:val="none"/>
              </w:rPr>
              <w:t>(2)</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27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9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Operating results of disposed companies</w:t>
            </w:r>
            <w:r>
              <w:rPr>
                <w:rFonts w:ascii="Times New Roman;serif" w:hAnsi="Times New Roman;serif"/>
                <w:b w:val="false"/>
                <w:i w:val="false"/>
                <w:caps w:val="false"/>
                <w:smallCaps w:val="false"/>
                <w:strike w:val="false"/>
                <w:dstrike w:val="false"/>
                <w:sz w:val="12"/>
                <w:u w:val="none"/>
                <w:effect w:val="none"/>
              </w:rPr>
              <w:t>(3)</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27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9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(116)</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Restructuring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27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9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Operating results from new acquired companies</w:t>
            </w:r>
            <w:r>
              <w:rPr>
                <w:rFonts w:ascii="Times New Roman;serif" w:hAnsi="Times New Roman;serif"/>
                <w:b w:val="false"/>
                <w:i w:val="false"/>
                <w:caps w:val="false"/>
                <w:smallCaps w:val="false"/>
                <w:strike w:val="false"/>
                <w:dstrike w:val="false"/>
                <w:sz w:val="12"/>
                <w:u w:val="none"/>
                <w:effect w:val="none"/>
              </w:rPr>
              <w:t>(4)</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27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9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Accounting model adjustments</w:t>
            </w:r>
            <w:r>
              <w:rPr>
                <w:rFonts w:ascii="Times New Roman;serif" w:hAnsi="Times New Roman;serif"/>
                <w:b w:val="false"/>
                <w:i w:val="false"/>
                <w:caps w:val="false"/>
                <w:smallCaps w:val="false"/>
                <w:strike w:val="false"/>
                <w:dstrike w:val="false"/>
                <w:sz w:val="12"/>
                <w:u w:val="none"/>
                <w:effect w:val="none"/>
              </w:rPr>
              <w:t>(5)</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27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9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Non-recurring impact</w:t>
            </w:r>
            <w:r>
              <w:rPr>
                <w:rFonts w:ascii="Times New Roman;serif" w:hAnsi="Times New Roman;serif"/>
                <w:b w:val="false"/>
                <w:i w:val="false"/>
                <w:caps w:val="false"/>
                <w:smallCaps w:val="false"/>
                <w:strike w:val="false"/>
                <w:dstrike w:val="false"/>
                <w:sz w:val="12"/>
                <w:u w:val="none"/>
                <w:effect w:val="none"/>
              </w:rPr>
              <w:t>(6)</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27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39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41"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Revenues Comparable (Like-for-like) </w:t>
            </w:r>
            <w:r>
              <w:rPr>
                <w:rFonts w:ascii="Times New Roman;serif" w:hAnsi="Times New Roman;serif"/>
                <w:b/>
                <w:i w:val="false"/>
                <w:caps w:val="false"/>
                <w:smallCaps w:val="false"/>
                <w:strike w:val="false"/>
                <w:dstrike w:val="false"/>
                <w:color w:val="B4B4B4"/>
                <w:sz w:val="18"/>
                <w:u w:val="none"/>
                <w:effect w:val="none"/>
              </w:rPr>
              <w:t>.............................................................................</w:t>
            </w:r>
          </w:p>
        </w:tc>
        <w:tc>
          <w:tcPr>
            <w:tcW w:w="127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9,627</w:t>
            </w:r>
          </w:p>
        </w:tc>
        <w:tc>
          <w:tcPr>
            <w:tcW w:w="139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8,865</w:t>
            </w:r>
          </w:p>
        </w:tc>
      </w:tr>
    </w:tbl>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(1)Calculation of the results of each period at the exchange rate in the current period.</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(2)Elimination of the impact of fixed asset impairments.</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(3)Elimination of the operating results of disposed companies when the impact effectively occurred.</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(4)Elimination in the current period of the operating results derived from new material companies.</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(5)Homogenization of the prior year’s operating result to reflect any modification arising from changes in a contract or an asset operating</w:t>
      </w:r>
      <w:r>
        <w:rPr>
          <w:caps w:val="false"/>
          <w:smallCaps w:val="false"/>
          <w:strike w:val="false"/>
          <w:dstrike w:val="false"/>
          <w:u w:val="none"/>
          <w:effect w:val="none"/>
        </w:rPr>
        <w:t xml:space="preserve"> </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model.</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(6)Elimination of other extraordinary impacts (mainly related to tax and human resources).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following table sets forth a reconciliation of Adjusted EBIT on like-for-like basis to our net profit/(loss) for the</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periods indicated:</w:t>
      </w:r>
    </w:p>
    <w:tbl>
      <w:tblPr>
        <w:tblW w:w="9256" w:type="dxa"/>
        <w:jc w:val="left"/>
        <w:tblInd w:w="0" w:type="dxa"/>
        <w:tblLayout w:type="fixed"/>
        <w:tblCellMar>
          <w:top w:w="28" w:type="dxa"/>
          <w:left w:w="28" w:type="dxa"/>
          <w:bottom w:w="28" w:type="dxa"/>
          <w:right w:w="28" w:type="dxa"/>
        </w:tblCellMar>
      </w:tblPr>
      <w:tblGrid>
        <w:gridCol w:w="6586"/>
        <w:gridCol w:w="1149"/>
        <w:gridCol w:w="1521"/>
      </w:tblGrid>
      <w:tr>
        <w:trPr/>
        <w:tc>
          <w:tcPr>
            <w:tcW w:w="658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586" w:type="dxa"/>
            <w:tcBorders/>
            <w:vAlign w:val="center"/>
          </w:tcPr>
          <w:p>
            <w:pPr>
              <w:pStyle w:val="TableContents"/>
              <w:bidi w:val="0"/>
              <w:spacing w:before="0" w:after="283"/>
              <w:jc w:val="left"/>
              <w:rPr>
                <w:sz w:val="4"/>
                <w:szCs w:val="4"/>
              </w:rPr>
            </w:pPr>
            <w:r>
              <w:rPr>
                <w:sz w:val="4"/>
                <w:szCs w:val="4"/>
              </w:rPr>
            </w:r>
          </w:p>
        </w:tc>
        <w:tc>
          <w:tcPr>
            <w:tcW w:w="2670"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114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2025</w:t>
            </w:r>
          </w:p>
        </w:tc>
        <w:tc>
          <w:tcPr>
            <w:tcW w:w="152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2024</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2670" w:type="dxa"/>
            <w:gridSpan w:val="2"/>
            <w:tcBorders>
              <w:top w:val="single" w:sz="4"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strike w:val="false"/>
                <w:dstrike w:val="false"/>
                <w:color w:val="231F20"/>
                <w:sz w:val="16"/>
                <w:u w:val="none"/>
                <w:effect w:val="none"/>
              </w:rPr>
            </w:pPr>
            <w:r>
              <w:rPr>
                <w:rFonts w:ascii="Times New Roman;serif" w:hAnsi="Times New Roman;serif"/>
                <w:b w:val="false"/>
                <w:i/>
                <w:strike w:val="false"/>
                <w:dstrike w:val="false"/>
                <w:color w:val="231F20"/>
                <w:sz w:val="16"/>
                <w:u w:val="none"/>
                <w:effect w:val="none"/>
              </w:rPr>
              <w:t>(in millions of euros)</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 xml:space="preserve">Net profit/(loss)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3,490</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Profit/(loss) net of tax from 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r>
      <w:tr>
        <w:trPr/>
        <w:tc>
          <w:tcPr>
            <w:tcW w:w="658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Income tax benefit (expense)</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145</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Share of profits of equity-accounted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Net financial income/(expense)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365</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Impairment and disposal of fixed assets</w:t>
            </w:r>
            <w:r>
              <w:rPr>
                <w:rFonts w:ascii="Times New Roman;serif" w:hAnsi="Times New Roman;serif"/>
                <w:b w:val="false"/>
                <w:i w:val="false"/>
                <w:caps w:val="false"/>
                <w:smallCaps w:val="false"/>
                <w:strike w:val="false"/>
                <w:dstrike w:val="false"/>
                <w:sz w:val="12"/>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(2,208)</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Exchange rate effect</w:t>
            </w:r>
            <w:r>
              <w:rPr>
                <w:rFonts w:ascii="Times New Roman;serif" w:hAnsi="Times New Roman;serif"/>
                <w:b w:val="false"/>
                <w:i w:val="false"/>
                <w:caps w:val="false"/>
                <w:smallCaps w:val="false"/>
                <w:strike w:val="false"/>
                <w:dstrike w:val="false"/>
                <w:sz w:val="12"/>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Operating results of disposed companies</w:t>
            </w:r>
            <w:r>
              <w:rPr>
                <w:rFonts w:ascii="Times New Roman;serif" w:hAnsi="Times New Roman;serif"/>
                <w:b w:val="false"/>
                <w:i w:val="false"/>
                <w:caps w:val="false"/>
                <w:smallCaps w:val="false"/>
                <w:strike w:val="false"/>
                <w:dstrike w:val="false"/>
                <w:sz w:val="12"/>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Restructuring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Operating results from new acquired companies</w:t>
            </w:r>
            <w:r>
              <w:rPr>
                <w:rFonts w:ascii="Times New Roman;serif" w:hAnsi="Times New Roman;serif"/>
                <w:b w:val="false"/>
                <w:i w:val="false"/>
                <w:caps w:val="false"/>
                <w:smallCaps w:val="false"/>
                <w:strike w:val="false"/>
                <w:dstrike w:val="false"/>
                <w:sz w:val="12"/>
                <w:u w:val="none"/>
                <w:effect w:val="none"/>
              </w:rPr>
              <w:t>(4)</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Accounting model adjustments</w:t>
            </w:r>
            <w:r>
              <w:rPr>
                <w:rFonts w:ascii="Times New Roman;serif" w:hAnsi="Times New Roman;serif"/>
                <w:b w:val="false"/>
                <w:i w:val="false"/>
                <w:caps w:val="false"/>
                <w:smallCaps w:val="false"/>
                <w:strike w:val="false"/>
                <w:dstrike w:val="false"/>
                <w:sz w:val="12"/>
                <w:u w:val="none"/>
                <w:effect w:val="none"/>
              </w:rPr>
              <w:t>(5)</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Non-recurring impact</w:t>
            </w:r>
            <w:r>
              <w:rPr>
                <w:rFonts w:ascii="Times New Roman;serif" w:hAnsi="Times New Roman;serif"/>
                <w:b w:val="false"/>
                <w:i w:val="false"/>
                <w:caps w:val="false"/>
                <w:smallCaps w:val="false"/>
                <w:strike w:val="false"/>
                <w:dstrike w:val="false"/>
                <w:sz w:val="12"/>
                <w:u w:val="none"/>
                <w:effect w:val="none"/>
              </w:rPr>
              <w:t>(6)</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Adjusted EBIT Comparable (Like-for-like) </w:t>
            </w:r>
            <w:r>
              <w:rPr>
                <w:rFonts w:ascii="Times New Roman;serif" w:hAnsi="Times New Roman;serif"/>
                <w:b/>
                <w:i w:val="false"/>
                <w:caps w:val="false"/>
                <w:smallCaps w:val="false"/>
                <w:strike w:val="false"/>
                <w:dstrike w:val="false"/>
                <w:color w:val="B4B4B4"/>
                <w:sz w:val="18"/>
                <w:u w:val="none"/>
                <w:effect w:val="none"/>
              </w:rPr>
              <w:t>....................................................................</w:t>
            </w:r>
          </w:p>
        </w:tc>
        <w:tc>
          <w:tcPr>
            <w:tcW w:w="114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967</w:t>
            </w:r>
          </w:p>
        </w:tc>
        <w:tc>
          <w:tcPr>
            <w:tcW w:w="15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874</w:t>
            </w:r>
          </w:p>
        </w:tc>
      </w:tr>
    </w:tbl>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(1)Primarily includes asset impairment and gains or losses on the purchase, sale and disposal of investment companies and associates.</w:t>
      </w:r>
      <w:r>
        <w:rPr>
          <w:caps w:val="false"/>
          <w:smallCaps w:val="false"/>
          <w:strike w:val="false"/>
          <w:dstrike w:val="false"/>
          <w:u w:val="none"/>
          <w:effect w:val="none"/>
        </w:rPr>
        <w:t xml:space="preserve"> </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(2)Calculation of the results of each period at the exchange rate in the current period.</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(3)Elimination of the operating results of disposed companies when the impact effectively occurred.</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(4)Elimination in the current period of the operating results derived from new material companies..</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(5)Homogenization of the prior year’s operating result to reflect any modification arising from changes in a contract or an asset operating</w:t>
      </w:r>
      <w:r>
        <w:rPr>
          <w:caps w:val="false"/>
          <w:smallCaps w:val="false"/>
          <w:strike w:val="false"/>
          <w:dstrike w:val="false"/>
          <w:u w:val="none"/>
          <w:effect w:val="none"/>
        </w:rPr>
        <w:t xml:space="preserve"> </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model.</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(6)Elimination of other extraordinary impacts (mainly related to tax and human resources).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following tables set forth a reconciliation of Adjusted EBITDA on like-for-like basis to our net profit/ (loss) for</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periods indicated:</w:t>
      </w:r>
    </w:p>
    <w:tbl>
      <w:tblPr>
        <w:tblW w:w="9256" w:type="dxa"/>
        <w:jc w:val="left"/>
        <w:tblInd w:w="0" w:type="dxa"/>
        <w:tblLayout w:type="fixed"/>
        <w:tblCellMar>
          <w:top w:w="28" w:type="dxa"/>
          <w:left w:w="28" w:type="dxa"/>
          <w:bottom w:w="28" w:type="dxa"/>
          <w:right w:w="28" w:type="dxa"/>
        </w:tblCellMar>
      </w:tblPr>
      <w:tblGrid>
        <w:gridCol w:w="6586"/>
        <w:gridCol w:w="1149"/>
        <w:gridCol w:w="1521"/>
      </w:tblGrid>
      <w:tr>
        <w:trPr/>
        <w:tc>
          <w:tcPr>
            <w:tcW w:w="658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r>
      <w:tr>
        <w:trPr/>
        <w:tc>
          <w:tcPr>
            <w:tcW w:w="6586" w:type="dxa"/>
            <w:tcBorders/>
            <w:vAlign w:val="center"/>
          </w:tcPr>
          <w:p>
            <w:pPr>
              <w:pStyle w:val="TableContents"/>
              <w:bidi w:val="0"/>
              <w:spacing w:before="0" w:after="283"/>
              <w:jc w:val="left"/>
              <w:rPr>
                <w:sz w:val="4"/>
                <w:szCs w:val="4"/>
              </w:rPr>
            </w:pPr>
            <w:r>
              <w:rPr>
                <w:sz w:val="4"/>
                <w:szCs w:val="4"/>
              </w:rPr>
            </w:r>
          </w:p>
        </w:tc>
        <w:tc>
          <w:tcPr>
            <w:tcW w:w="2670" w:type="dxa"/>
            <w:gridSpan w:val="2"/>
            <w:tcBorders>
              <w:bottom w:val="single" w:sz="4"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 the year ended December 31,</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1149"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2025</w:t>
            </w:r>
          </w:p>
        </w:tc>
        <w:tc>
          <w:tcPr>
            <w:tcW w:w="1521" w:type="dxa"/>
            <w:tcBorders>
              <w:top w:val="single" w:sz="4" w:space="0" w:color="00000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2024</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2670" w:type="dxa"/>
            <w:gridSpan w:val="2"/>
            <w:tcBorders>
              <w:top w:val="single" w:sz="4" w:space="0" w:color="000000"/>
            </w:tcBorders>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strike w:val="false"/>
                <w:dstrike w:val="false"/>
                <w:color w:val="231F20"/>
                <w:sz w:val="16"/>
                <w:u w:val="none"/>
                <w:effect w:val="none"/>
              </w:rPr>
            </w:pPr>
            <w:r>
              <w:rPr>
                <w:rFonts w:ascii="Times New Roman;serif" w:hAnsi="Times New Roman;serif"/>
                <w:b w:val="false"/>
                <w:i/>
                <w:strike w:val="false"/>
                <w:dstrike w:val="false"/>
                <w:color w:val="231F20"/>
                <w:sz w:val="16"/>
                <w:u w:val="none"/>
                <w:effect w:val="none"/>
              </w:rPr>
              <w:t>(in millions of euros)</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 xml:space="preserve">Net profit/(loss)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1,150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3,490</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Profit/(loss) net of tax from discontinued operations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w:t>
            </w:r>
          </w:p>
        </w:tc>
      </w:tr>
      <w:tr>
        <w:trPr/>
        <w:tc>
          <w:tcPr>
            <w:tcW w:w="6586" w:type="dxa"/>
            <w:tcBorders/>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Income tax benefit (expense)</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145</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Share of profits of equity-accounted companies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Net financial income/(expense)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365</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Impairment and disposal of fixed assets</w:t>
            </w:r>
            <w:r>
              <w:rPr>
                <w:rFonts w:ascii="Times New Roman;serif" w:hAnsi="Times New Roman;serif"/>
                <w:b w:val="false"/>
                <w:i w:val="false"/>
                <w:caps w:val="false"/>
                <w:smallCaps w:val="false"/>
                <w:strike w:val="false"/>
                <w:dstrike w:val="false"/>
                <w:sz w:val="12"/>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(2,208)</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Fixed asset depreciation</w:t>
            </w:r>
            <w:r>
              <w:rPr>
                <w:rFonts w:ascii="Times New Roman;serif" w:hAnsi="Times New Roman;serif"/>
                <w:b w:val="false"/>
                <w:i w:val="false"/>
                <w:caps w:val="false"/>
                <w:smallCaps w:val="false"/>
                <w:strike w:val="false"/>
                <w:dstrike w:val="false"/>
                <w:sz w:val="12"/>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490</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441</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Exchange rate effect</w:t>
            </w:r>
            <w:r>
              <w:rPr>
                <w:rFonts w:ascii="Times New Roman;serif" w:hAnsi="Times New Roman;serif"/>
                <w:b w:val="false"/>
                <w:i w:val="false"/>
                <w:caps w:val="false"/>
                <w:smallCaps w:val="false"/>
                <w:strike w:val="false"/>
                <w:dstrike w:val="false"/>
                <w:sz w:val="12"/>
                <w:u w:val="none"/>
                <w:effect w:val="none"/>
              </w:rPr>
              <w:t>(3)</w:t>
            </w: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Operating results of disposed companies</w:t>
            </w:r>
            <w:r>
              <w:rPr>
                <w:rFonts w:ascii="Times New Roman;serif" w:hAnsi="Times New Roman;serif"/>
                <w:b w:val="false"/>
                <w:i w:val="false"/>
                <w:caps w:val="false"/>
                <w:smallCaps w:val="false"/>
                <w:strike w:val="false"/>
                <w:dstrike w:val="false"/>
                <w:sz w:val="12"/>
                <w:u w:val="none"/>
                <w:effect w:val="none"/>
              </w:rPr>
              <w:t>(4)</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Restructuring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Operating results from new acquired companies</w:t>
            </w:r>
            <w:r>
              <w:rPr>
                <w:rFonts w:ascii="Times New Roman;serif" w:hAnsi="Times New Roman;serif"/>
                <w:b w:val="false"/>
                <w:i w:val="false"/>
                <w:caps w:val="false"/>
                <w:smallCaps w:val="false"/>
                <w:strike w:val="false"/>
                <w:dstrike w:val="false"/>
                <w:sz w:val="12"/>
                <w:u w:val="none"/>
                <w:effect w:val="none"/>
              </w:rPr>
              <w:t>(5)</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Accounting model adjustments</w:t>
            </w:r>
            <w:r>
              <w:rPr>
                <w:rFonts w:ascii="Times New Roman;serif" w:hAnsi="Times New Roman;serif"/>
                <w:b w:val="false"/>
                <w:i w:val="false"/>
                <w:caps w:val="false"/>
                <w:smallCaps w:val="false"/>
                <w:strike w:val="false"/>
                <w:dstrike w:val="false"/>
                <w:sz w:val="12"/>
                <w:u w:val="none"/>
                <w:effect w:val="none"/>
              </w:rPr>
              <w:t>(6)</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rPr>
              <w:t>Non-recurring impact</w:t>
            </w:r>
            <w:r>
              <w:rPr>
                <w:rFonts w:ascii="Times New Roman;serif" w:hAnsi="Times New Roman;serif"/>
                <w:b w:val="false"/>
                <w:i w:val="false"/>
                <w:caps w:val="false"/>
                <w:smallCaps w:val="false"/>
                <w:strike w:val="false"/>
                <w:dstrike w:val="false"/>
                <w:sz w:val="12"/>
                <w:u w:val="none"/>
                <w:effect w:val="none"/>
              </w:rPr>
              <w:t>(7)</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1149"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2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58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sz w:val="18"/>
                <w:u w:val="none"/>
                <w:effect w:val="none"/>
              </w:rPr>
              <w:t xml:space="preserve">Adjusted EBITDA Comparable (Like-for-like) </w:t>
            </w:r>
            <w:r>
              <w:rPr>
                <w:rFonts w:ascii="Times New Roman;serif" w:hAnsi="Times New Roman;serif"/>
                <w:b/>
                <w:i w:val="false"/>
                <w:caps w:val="false"/>
                <w:smallCaps w:val="false"/>
                <w:strike w:val="false"/>
                <w:dstrike w:val="false"/>
                <w:color w:val="B4B4B4"/>
                <w:sz w:val="18"/>
                <w:u w:val="none"/>
                <w:effect w:val="none"/>
              </w:rPr>
              <w:t>..............................................................</w:t>
            </w:r>
          </w:p>
        </w:tc>
        <w:tc>
          <w:tcPr>
            <w:tcW w:w="1149"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1,457</w:t>
            </w:r>
          </w:p>
        </w:tc>
        <w:tc>
          <w:tcPr>
            <w:tcW w:w="1521"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1,299</w:t>
            </w:r>
          </w:p>
        </w:tc>
      </w:tr>
    </w:tbl>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(1)Primarily includes asset impairment and gains or losses on the purchase, sale and disposal of investments companies and associates.</w:t>
      </w:r>
      <w:r>
        <w:rPr>
          <w:caps w:val="false"/>
          <w:smallCaps w:val="false"/>
          <w:strike w:val="false"/>
          <w:dstrike w:val="false"/>
          <w:u w:val="none"/>
          <w:effect w:val="none"/>
        </w:rPr>
        <w:t xml:space="preserve"> </w:t>
      </w:r>
    </w:p>
    <w:p>
      <w:pPr>
        <w:pStyle w:val="TextBody"/>
        <w:bidi w:val="0"/>
        <w:spacing w:lineRule="atLeast" w:line="160" w:before="0" w:after="0"/>
        <w:jc w:val="both"/>
        <w:rPr>
          <w:sz w:val="24"/>
          <w:u w:val="single"/>
        </w:rPr>
      </w:pPr>
      <w:r>
        <w:rPr>
          <w:rFonts w:ascii="Times New Roman;serif" w:hAnsi="Times New Roman;serif"/>
          <w:b w:val="false"/>
          <w:i w:val="false"/>
          <w:caps w:val="false"/>
          <w:smallCaps w:val="false"/>
          <w:strike w:val="false"/>
          <w:dstrike w:val="false"/>
          <w:sz w:val="16"/>
          <w:u w:val="none"/>
          <w:effect w:val="none"/>
        </w:rPr>
        <w:t>(2)Comprises mainly by depreciation relating to the Highways and Construction Business Division. Increase (+11.2%) in the year ended</w:t>
      </w:r>
      <w:r>
        <w:rPr>
          <w:caps w:val="false"/>
          <w:smallCaps w:val="false"/>
          <w:strike w:val="false"/>
          <w:dstrike w:val="false"/>
          <w:sz w:val="24"/>
          <w:u w:val="none"/>
          <w:effect w:val="none"/>
        </w:rPr>
        <w:t xml:space="preserve">  </w:t>
      </w:r>
    </w:p>
    <w:p>
      <w:pPr>
        <w:pStyle w:val="TextBody"/>
        <w:bidi w:val="0"/>
        <w:spacing w:lineRule="atLeast" w:line="160" w:before="0" w:after="0"/>
        <w:jc w:val="both"/>
        <w:rPr>
          <w:sz w:val="24"/>
          <w:u w:val="single"/>
        </w:rPr>
      </w:pPr>
      <w:r>
        <w:rPr>
          <w:rFonts w:ascii="Times New Roman;serif" w:hAnsi="Times New Roman;serif"/>
          <w:b w:val="false"/>
          <w:i w:val="false"/>
          <w:caps w:val="false"/>
          <w:smallCaps w:val="false"/>
          <w:strike w:val="false"/>
          <w:dstrike w:val="false"/>
          <w:sz w:val="16"/>
          <w:u w:val="none"/>
          <w:effect w:val="none"/>
        </w:rPr>
        <w:t>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to EUR 490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million, as compared to the year ended December 31, 2024.</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(3)Calculation of the results of each period at the exchange rate in the current period.</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(4)Elimination of the operating results of disposed companies when the impact effectively occurred.</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(5)Elimination in the current period of the operating results derived from new material companies.</w:t>
      </w:r>
    </w:p>
    <w:p>
      <w:pPr>
        <w:pStyle w:val="TextBody"/>
        <w:bidi w:val="0"/>
        <w:spacing w:lineRule="atLeast" w:line="160" w:before="0" w:after="0"/>
        <w:jc w:val="both"/>
        <w:rPr>
          <w:u w:val="single"/>
        </w:rPr>
      </w:pPr>
      <w:r>
        <w:rPr>
          <w:rFonts w:ascii="Times New Roman;serif" w:hAnsi="Times New Roman;serif"/>
          <w:b w:val="false"/>
          <w:i w:val="false"/>
          <w:caps w:val="false"/>
          <w:smallCaps w:val="false"/>
          <w:strike w:val="false"/>
          <w:dstrike w:val="false"/>
          <w:sz w:val="16"/>
          <w:u w:val="none"/>
          <w:effect w:val="none"/>
        </w:rPr>
        <w:t>(6)Homogenization of the prior year’s operating result to reflect any modification arising from changes in a contract or an asset operating</w:t>
      </w:r>
      <w:r>
        <w:rPr>
          <w:caps w:val="false"/>
          <w:smallCaps w:val="false"/>
          <w:strike w:val="false"/>
          <w:dstrike w:val="false"/>
          <w:u w:val="none"/>
          <w:effect w:val="none"/>
        </w:rPr>
        <w:t xml:space="preserve"> </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model.</w:t>
      </w:r>
    </w:p>
    <w:p>
      <w:pPr>
        <w:pStyle w:val="TextBody"/>
        <w:bidi w:val="0"/>
        <w:spacing w:lineRule="atLeast" w:line="160" w:before="0" w:after="0"/>
        <w:jc w:val="both"/>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(7)Elimination of other extraordinary impacts (mainly related to tax and human resources).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5.A.8.3Order Book</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Order Book corresponds to our revenue which is pending execution corresponding to those contracts which we have</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signed and over which we expect to be executed in the future. The Order Book is calculated by adding the contracts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actual year to the balance of the contract Order Book at the end of the previous year, less the income recognized in</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current year. The total income from a contract corresponds to the agreed price or rate corresponding to the delivery</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of goods and/or the rendering of the contemplated services. If the execution of a contract is pending the closure of</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financing, the income from said contract will not be added to the calculation of Order Book until said financing is</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closed.</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We use the Order Book as an indicator of our future revenue, as it reflects, for each contract, the final estimated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revenue minus the net amount of work performed.</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There is no comparable financial measure to the Order Book in IFRS. This reconciliation is based on the order book</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value of a specific construction being comprised of its contracting value less the construction work completed, which</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is the main component of the revenue figure. Therefore, it is not possible to present a reconciliation of the Order Book</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to our Financial Statements. We believe the difference between the construction work completed and the revenues</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reported for the Construction Business Division in the Audited Financial Statements is attributable to the fact that</w:t>
      </w:r>
      <w:r>
        <w:rPr>
          <w:caps w:val="false"/>
          <w:smallCaps w:val="false"/>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these are subject to, among others, the following adjustments: (i) consolidation adjustments, (ii) charges to joint</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ventures, (iii) sale of machinery, and (iv) reverse factoring income.</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The following table sets forth the Construction Business Division Order Book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rFonts w:ascii="Times New Roman;serif" w:hAnsi="Times New Roman;serif"/>
          <w:b w:val="false"/>
          <w:i w:val="false"/>
          <w:caps w:val="false"/>
          <w:smallCaps w:val="false"/>
          <w:strike w:val="false"/>
          <w:dstrike w:val="false"/>
          <w:sz w:val="20"/>
          <w:u w:val="none"/>
          <w:effect w:val="none"/>
          <w:shd w:fill="FFFFFF" w:val="clear"/>
        </w:rPr>
        <w:t>2024</w:t>
      </w:r>
      <w:r>
        <w:rPr>
          <w:rFonts w:ascii="Times New Roman;serif" w:hAnsi="Times New Roman;serif"/>
          <w:b w:val="false"/>
          <w:i w:val="false"/>
          <w:caps w:val="false"/>
          <w:smallCaps w:val="false"/>
          <w:strike w:val="false"/>
          <w:dstrike w:val="false"/>
          <w:sz w:val="20"/>
          <w:u w:val="none"/>
          <w:effect w:val="none"/>
        </w:rPr>
        <w:t>:</w:t>
      </w:r>
    </w:p>
    <w:tbl>
      <w:tblPr>
        <w:tblW w:w="7426" w:type="dxa"/>
        <w:jc w:val="left"/>
        <w:tblInd w:w="0" w:type="dxa"/>
        <w:tblLayout w:type="fixed"/>
        <w:tblCellMar>
          <w:top w:w="28" w:type="dxa"/>
          <w:left w:w="28" w:type="dxa"/>
          <w:bottom w:w="28" w:type="dxa"/>
          <w:right w:w="28" w:type="dxa"/>
        </w:tblCellMar>
      </w:tblPr>
      <w:tblGrid>
        <w:gridCol w:w="5776"/>
        <w:gridCol w:w="795"/>
        <w:gridCol w:w="855"/>
      </w:tblGrid>
      <w:tr>
        <w:trPr/>
        <w:tc>
          <w:tcPr>
            <w:tcW w:w="577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r>
      <w:tr>
        <w:trPr/>
        <w:tc>
          <w:tcPr>
            <w:tcW w:w="5776" w:type="dxa"/>
            <w:tcBorders/>
            <w:vAlign w:val="center"/>
          </w:tcPr>
          <w:p>
            <w:pPr>
              <w:pStyle w:val="TableContents"/>
              <w:bidi w:val="0"/>
              <w:spacing w:before="0" w:after="283"/>
              <w:jc w:val="left"/>
              <w:rPr>
                <w:sz w:val="4"/>
                <w:szCs w:val="4"/>
              </w:rPr>
            </w:pPr>
            <w:r>
              <w:rPr>
                <w:sz w:val="4"/>
                <w:szCs w:val="4"/>
              </w:rPr>
            </w:r>
          </w:p>
        </w:tc>
        <w:tc>
          <w:tcPr>
            <w:tcW w:w="1650" w:type="dxa"/>
            <w:gridSpan w:val="2"/>
            <w:tcBorders>
              <w:bottom w:val="single" w:sz="4" w:space="0" w:color="231F2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As of December 31,</w:t>
            </w:r>
          </w:p>
        </w:tc>
      </w:tr>
      <w:tr>
        <w:trPr/>
        <w:tc>
          <w:tcPr>
            <w:tcW w:w="5776" w:type="dxa"/>
            <w:tcBorders/>
            <w:vAlign w:val="center"/>
          </w:tcPr>
          <w:p>
            <w:pPr>
              <w:pStyle w:val="TableContents"/>
              <w:bidi w:val="0"/>
              <w:spacing w:before="0" w:after="283"/>
              <w:jc w:val="left"/>
              <w:rPr>
                <w:sz w:val="4"/>
                <w:szCs w:val="4"/>
              </w:rPr>
            </w:pPr>
            <w:r>
              <w:rPr>
                <w:sz w:val="4"/>
                <w:szCs w:val="4"/>
              </w:rPr>
            </w:r>
          </w:p>
        </w:tc>
        <w:tc>
          <w:tcPr>
            <w:tcW w:w="795" w:type="dxa"/>
            <w:tcBorders>
              <w:top w:val="single" w:sz="4" w:space="0" w:color="231F2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855" w:type="dxa"/>
            <w:tcBorders>
              <w:top w:val="single" w:sz="4" w:space="0" w:color="231F20"/>
              <w:bottom w:val="single" w:sz="4"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2024</w:t>
            </w:r>
          </w:p>
        </w:tc>
      </w:tr>
      <w:tr>
        <w:trPr/>
        <w:tc>
          <w:tcPr>
            <w:tcW w:w="5776" w:type="dxa"/>
            <w:tcBorders/>
            <w:vAlign w:val="center"/>
          </w:tcPr>
          <w:p>
            <w:pPr>
              <w:pStyle w:val="TableContents"/>
              <w:bidi w:val="0"/>
              <w:spacing w:before="0" w:after="283"/>
              <w:jc w:val="left"/>
              <w:rPr>
                <w:sz w:val="4"/>
                <w:szCs w:val="4"/>
              </w:rPr>
            </w:pPr>
            <w:r>
              <w:rPr>
                <w:sz w:val="4"/>
                <w:szCs w:val="4"/>
              </w:rPr>
            </w:r>
          </w:p>
        </w:tc>
        <w:tc>
          <w:tcPr>
            <w:tcW w:w="1650" w:type="dxa"/>
            <w:gridSpan w:val="2"/>
            <w:tcBorders>
              <w:top w:val="single" w:sz="4"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strike w:val="false"/>
                <w:dstrike w:val="false"/>
                <w:sz w:val="18"/>
                <w:u w:val="none"/>
                <w:effect w:val="none"/>
              </w:rPr>
            </w:pPr>
            <w:r>
              <w:rPr>
                <w:rFonts w:ascii="Times New Roman;serif" w:hAnsi="Times New Roman;serif"/>
                <w:b w:val="false"/>
                <w:i/>
                <w:strike w:val="false"/>
                <w:dstrike w:val="false"/>
                <w:sz w:val="18"/>
                <w:u w:val="none"/>
                <w:effect w:val="none"/>
              </w:rPr>
              <w:t>(in millions of euros)</w:t>
            </w:r>
          </w:p>
        </w:tc>
      </w:tr>
      <w:tr>
        <w:trPr/>
        <w:tc>
          <w:tcPr>
            <w:tcW w:w="57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 xml:space="preserve">Budimex </w:t>
            </w:r>
            <w:r>
              <w:rPr>
                <w:rFonts w:ascii="Times New Roman;serif" w:hAnsi="Times New Roman;serif"/>
                <w:b w:val="false"/>
                <w:i w:val="false"/>
                <w:caps w:val="false"/>
                <w:smallCaps w:val="false"/>
                <w:strike w:val="false"/>
                <w:dstrike w:val="false"/>
                <w:color w:val="B4B4B4"/>
                <w:sz w:val="18"/>
                <w:u w:val="none"/>
                <w:effect w:val="none"/>
              </w:rPr>
              <w:t>.............................................................................................................</w:t>
            </w:r>
          </w:p>
        </w:tc>
        <w:tc>
          <w:tcPr>
            <w:tcW w:w="79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4,048</w:t>
            </w:r>
          </w:p>
        </w:tc>
        <w:tc>
          <w:tcPr>
            <w:tcW w:w="85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4,389</w:t>
            </w:r>
          </w:p>
        </w:tc>
      </w:tr>
      <w:tr>
        <w:trPr/>
        <w:tc>
          <w:tcPr>
            <w:tcW w:w="57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Webber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79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5,556</w:t>
            </w:r>
          </w:p>
        </w:tc>
        <w:tc>
          <w:tcPr>
            <w:tcW w:w="855"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5,710</w:t>
            </w:r>
          </w:p>
        </w:tc>
      </w:tr>
      <w:tr>
        <w:trPr/>
        <w:tc>
          <w:tcPr>
            <w:tcW w:w="577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color w:val="000000"/>
                <w:sz w:val="18"/>
                <w:u w:val="none"/>
                <w:effect w:val="none"/>
              </w:rPr>
              <w:t>Ferrovial Construction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8"/>
                <w:u w:val="none"/>
                <w:effect w:val="none"/>
              </w:rPr>
              <w:t>........................................................................................</w:t>
            </w:r>
          </w:p>
        </w:tc>
        <w:tc>
          <w:tcPr>
            <w:tcW w:w="79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7,834</w:t>
            </w:r>
          </w:p>
        </w:tc>
        <w:tc>
          <w:tcPr>
            <w:tcW w:w="855"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6,657</w:t>
            </w:r>
          </w:p>
        </w:tc>
      </w:tr>
      <w:tr>
        <w:trPr/>
        <w:tc>
          <w:tcPr>
            <w:tcW w:w="5776" w:type="dxa"/>
            <w:tcBorders/>
            <w:vAlign w:val="center"/>
          </w:tcPr>
          <w:p>
            <w:pPr>
              <w:pStyle w:val="TableContents"/>
              <w:bidi w:val="0"/>
              <w:spacing w:lineRule="atLeast" w:line="180" w:before="0" w:after="0"/>
              <w:jc w:val="left"/>
              <w:rPr/>
            </w:pPr>
            <w:r>
              <w:rPr>
                <w:rFonts w:ascii="Times New Roman;serif" w:hAnsi="Times New Roman;serif"/>
                <w:b/>
                <w:i w:val="false"/>
                <w:caps w:val="false"/>
                <w:smallCaps w:val="false"/>
                <w:strike w:val="false"/>
                <w:dstrike w:val="false"/>
                <w:color w:val="000000"/>
                <w:sz w:val="18"/>
                <w:u w:val="none"/>
                <w:effect w:val="none"/>
              </w:rPr>
              <w:t xml:space="preserve">Construction </w:t>
            </w:r>
            <w:r>
              <w:rPr>
                <w:rFonts w:ascii="Times New Roman;serif" w:hAnsi="Times New Roman;serif"/>
                <w:b/>
                <w:i w:val="false"/>
                <w:caps w:val="false"/>
                <w:smallCaps w:val="false"/>
                <w:strike w:val="false"/>
                <w:dstrike w:val="false"/>
                <w:color w:val="B4B4B4"/>
                <w:sz w:val="18"/>
                <w:u w:val="none"/>
                <w:effect w:val="none"/>
              </w:rPr>
              <w:t>.....................................................................................................</w:t>
            </w:r>
          </w:p>
        </w:tc>
        <w:tc>
          <w:tcPr>
            <w:tcW w:w="795"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17,438</w:t>
            </w:r>
          </w:p>
        </w:tc>
        <w:tc>
          <w:tcPr>
            <w:tcW w:w="855" w:type="dxa"/>
            <w:tcBorders>
              <w:top w:val="single" w:sz="8" w:space="0" w:color="000000"/>
              <w:bottom w:val="doub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16,755</w:t>
            </w:r>
          </w:p>
        </w:tc>
      </w:tr>
    </w:tbl>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Construction Order Book increased by 4.1%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EUR 17,438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million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from EUR 16,755</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million 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due to new projects awarded to Webber and Ferrovial Construction (mainly the High</w:t>
      </w:r>
      <w:r>
        <w:rPr>
          <w:caps w:val="false"/>
          <w:smallCaps w:val="false"/>
          <w:strike w:val="false"/>
          <w:dstrike w:val="false"/>
          <w:sz w:val="24"/>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Speed 2 Track in UK). For an overview of our new projects, see “</w:t>
      </w:r>
      <w:r>
        <w:rPr>
          <w:rFonts w:ascii="Times New Roman;serif" w:hAnsi="Times New Roman;serif"/>
          <w:b w:val="false"/>
          <w:i/>
          <w:strike w:val="false"/>
          <w:dstrike w:val="false"/>
          <w:sz w:val="20"/>
          <w:u w:val="none"/>
          <w:effect w:val="none"/>
        </w:rPr>
        <w:t>Item 4. Information on the Company—B. Business</w:t>
      </w:r>
      <w:r>
        <w:rPr>
          <w:strike w:val="false"/>
          <w:dstrike w:val="false"/>
          <w:u w:val="none"/>
          <w:effect w:val="none"/>
        </w:rPr>
        <w:t xml:space="preserve"> </w:t>
      </w:r>
    </w:p>
    <w:p>
      <w:pPr>
        <w:pStyle w:val="TextBody"/>
        <w:bidi w:val="0"/>
        <w:spacing w:lineRule="atLeast" w:line="200" w:before="0" w:after="0"/>
        <w:jc w:val="both"/>
        <w:rPr>
          <w:u w:val="single"/>
        </w:rPr>
      </w:pPr>
      <w:r>
        <w:rPr>
          <w:rFonts w:ascii="Times New Roman;serif" w:hAnsi="Times New Roman;serif"/>
          <w:b w:val="false"/>
          <w:i/>
          <w:strike w:val="false"/>
          <w:dstrike w:val="false"/>
          <w:sz w:val="20"/>
          <w:u w:val="none"/>
          <w:effect w:val="none"/>
        </w:rPr>
        <w:t>Overview—3. Group Overview—3. Our Business Divisions—3. Construction Business Division.</w:t>
      </w: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The Order Book</w:t>
      </w:r>
      <w:r>
        <w:rPr>
          <w:caps w:val="false"/>
          <w:smallCaps w:val="false"/>
          <w:strike w:val="false"/>
          <w:dstrike w:val="false"/>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breakdown by geography in 2025 was: U.S. &amp; Canada 46%; Poland 22%; Spain 14%; UK 12%; Australia 1%; and the</w:t>
      </w:r>
      <w:r>
        <w:rPr>
          <w:caps w:val="false"/>
          <w:smallCaps w:val="false"/>
          <w:strike w:val="false"/>
          <w:dstrike w:val="false"/>
          <w:sz w:val="24"/>
          <w:u w:val="none"/>
          <w:effect w:val="none"/>
        </w:rPr>
        <w:t xml:space="preserve"> </w:t>
      </w:r>
    </w:p>
    <w:p>
      <w:pPr>
        <w:pStyle w:val="TextBody"/>
        <w:bidi w:val="0"/>
        <w:spacing w:lineRule="atLeast" w:line="200" w:before="0" w:after="0"/>
        <w:jc w:val="both"/>
        <w:rPr>
          <w:sz w:val="24"/>
          <w:u w:val="single"/>
        </w:rPr>
      </w:pPr>
      <w:r>
        <w:rPr>
          <w:rFonts w:ascii="Times New Roman;serif" w:hAnsi="Times New Roman;serif"/>
          <w:b w:val="false"/>
          <w:i w:val="false"/>
          <w:caps w:val="false"/>
          <w:smallCaps w:val="false"/>
          <w:strike w:val="false"/>
          <w:dstrike w:val="false"/>
          <w:sz w:val="20"/>
          <w:u w:val="none"/>
          <w:effect w:val="none"/>
        </w:rPr>
        <w:t>rest of the world 5%.</w:t>
      </w:r>
      <w:r>
        <w:rPr>
          <w:caps w:val="false"/>
          <w:smallCaps w:val="false"/>
          <w:strike w:val="false"/>
          <w:dstrike w:val="false"/>
          <w:sz w:val="24"/>
          <w:u w:val="none"/>
          <w:effect w:val="none"/>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19. EXHIBITS</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documents are filed as part of this Annual Report.</w:t>
      </w:r>
    </w:p>
    <w:tbl>
      <w:tblPr>
        <w:tblW w:w="7987" w:type="dxa"/>
        <w:jc w:val="left"/>
        <w:tblInd w:w="0" w:type="dxa"/>
        <w:tblLayout w:type="fixed"/>
        <w:tblCellMar>
          <w:top w:w="28" w:type="dxa"/>
          <w:left w:w="28" w:type="dxa"/>
          <w:bottom w:w="28" w:type="dxa"/>
          <w:right w:w="28" w:type="dxa"/>
        </w:tblCellMar>
      </w:tblPr>
      <w:tblGrid>
        <w:gridCol w:w="1006"/>
        <w:gridCol w:w="3151"/>
        <w:gridCol w:w="526"/>
        <w:gridCol w:w="691"/>
        <w:gridCol w:w="721"/>
        <w:gridCol w:w="946"/>
        <w:gridCol w:w="946"/>
      </w:tblGrid>
      <w:tr>
        <w:trPr/>
        <w:tc>
          <w:tcPr>
            <w:tcW w:w="100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7987" w:type="dxa"/>
            <w:gridSpan w:val="7"/>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EXHIBIT INDEX</w:t>
            </w:r>
          </w:p>
        </w:tc>
      </w:tr>
      <w:tr>
        <w:trPr/>
        <w:tc>
          <w:tcPr>
            <w:tcW w:w="100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c>
          <w:tcPr>
            <w:tcW w:w="3830" w:type="dxa"/>
            <w:gridSpan w:val="5"/>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Incorporation by Reference</w:t>
            </w:r>
          </w:p>
        </w:tc>
      </w:tr>
      <w:tr>
        <w:trPr/>
        <w:tc>
          <w:tcPr>
            <w:tcW w:w="10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Form</w:t>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File No.</w:t>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Exhibit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No.</w:t>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Filing Date</w:t>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Filed /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Furnished</w:t>
            </w:r>
          </w:p>
        </w:tc>
      </w:tr>
      <w:tr>
        <w:trPr/>
        <w:tc>
          <w:tcPr>
            <w:tcW w:w="1006"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Exhibit No.</w:t>
            </w:r>
          </w:p>
        </w:tc>
        <w:tc>
          <w:tcPr>
            <w:tcW w:w="315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Description</w:t>
            </w:r>
          </w:p>
        </w:tc>
        <w:tc>
          <w:tcPr>
            <w:tcW w:w="5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12.1</w:t>
            </w:r>
          </w:p>
        </w:tc>
        <w:tc>
          <w:tcPr>
            <w:tcW w:w="3151" w:type="dxa"/>
            <w:tcBorders/>
            <w:vAlign w:val="center"/>
          </w:tcPr>
          <w:p>
            <w:pPr>
              <w:pStyle w:val="TableContents"/>
              <w:bidi w:val="0"/>
              <w:spacing w:lineRule="atLeast" w:line="180" w:before="0" w:after="0"/>
              <w:jc w:val="left"/>
              <w:rPr/>
            </w:pPr>
            <w:hyperlink w:anchor="exhibit121certificationo.htm">
              <w:r>
                <w:rPr>
                  <w:rStyle w:val="InternetLink"/>
                  <w:rFonts w:ascii="Times New Roman;serif" w:hAnsi="Times New Roman;serif"/>
                  <w:b w:val="false"/>
                  <w:i w:val="false"/>
                  <w:caps w:val="false"/>
                  <w:smallCaps w:val="false"/>
                  <w:color w:val="000000"/>
                  <w:sz w:val="18"/>
                  <w:u w:val="single"/>
                </w:rPr>
                <w:t xml:space="preserve">Certification of the Chief Executive </w:t>
              </w:r>
            </w:hyperlink>
          </w:p>
          <w:p>
            <w:pPr>
              <w:pStyle w:val="TableContents"/>
              <w:bidi w:val="0"/>
              <w:spacing w:lineRule="atLeast" w:line="180" w:before="0" w:after="0"/>
              <w:jc w:val="left"/>
              <w:rPr/>
            </w:pPr>
            <w:hyperlink w:anchor="exhibit121certificationo.htm">
              <w:r>
                <w:rPr>
                  <w:rStyle w:val="InternetLink"/>
                  <w:rFonts w:ascii="Times New Roman;serif" w:hAnsi="Times New Roman;serif"/>
                  <w:b w:val="false"/>
                  <w:i w:val="false"/>
                  <w:caps w:val="false"/>
                  <w:smallCaps w:val="false"/>
                  <w:color w:val="000000"/>
                  <w:sz w:val="18"/>
                  <w:u w:val="single"/>
                </w:rPr>
                <w:t>Officer under Section 302 of the Sarbanes-</w:t>
              </w:r>
            </w:hyperlink>
          </w:p>
          <w:p>
            <w:pPr>
              <w:pStyle w:val="TableContents"/>
              <w:bidi w:val="0"/>
              <w:spacing w:lineRule="atLeast" w:line="180" w:before="0" w:after="0"/>
              <w:jc w:val="left"/>
              <w:rPr/>
            </w:pPr>
            <w:hyperlink w:anchor="exhibit121certificationo.htm">
              <w:r>
                <w:rPr>
                  <w:rStyle w:val="InternetLink"/>
                  <w:rFonts w:ascii="Times New Roman;serif" w:hAnsi="Times New Roman;serif"/>
                  <w:b w:val="false"/>
                  <w:i w:val="false"/>
                  <w:caps w:val="false"/>
                  <w:smallCaps w:val="false"/>
                  <w:color w:val="000000"/>
                  <w:sz w:val="18"/>
                  <w:u w:val="single"/>
                </w:rPr>
                <w:t>Oxley Act of 2002</w:t>
              </w:r>
            </w:hyperlink>
          </w:p>
        </w:tc>
        <w:tc>
          <w:tcPr>
            <w:tcW w:w="5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r>
      <w:tr>
        <w:trPr/>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w:t>
            </w:r>
          </w:p>
        </w:tc>
        <w:tc>
          <w:tcPr>
            <w:tcW w:w="3151" w:type="dxa"/>
            <w:tcBorders/>
            <w:vAlign w:val="center"/>
          </w:tcPr>
          <w:p>
            <w:pPr>
              <w:pStyle w:val="TableContents"/>
              <w:bidi w:val="0"/>
              <w:spacing w:lineRule="atLeast" w:line="180" w:before="0" w:after="0"/>
              <w:jc w:val="left"/>
              <w:rPr/>
            </w:pPr>
            <w:hyperlink w:anchor="exhibit122certificationo.htm">
              <w:r>
                <w:rPr>
                  <w:rStyle w:val="InternetLink"/>
                  <w:rFonts w:ascii="Times New Roman;serif" w:hAnsi="Times New Roman;serif"/>
                  <w:b w:val="false"/>
                  <w:i w:val="false"/>
                  <w:caps w:val="false"/>
                  <w:smallCaps w:val="false"/>
                  <w:color w:val="000000"/>
                  <w:sz w:val="18"/>
                  <w:u w:val="single"/>
                </w:rPr>
                <w:t xml:space="preserve">Certification of the Chief Financial  </w:t>
              </w:r>
            </w:hyperlink>
          </w:p>
          <w:p>
            <w:pPr>
              <w:pStyle w:val="TableContents"/>
              <w:bidi w:val="0"/>
              <w:spacing w:lineRule="atLeast" w:line="180" w:before="0" w:after="0"/>
              <w:jc w:val="left"/>
              <w:rPr/>
            </w:pPr>
            <w:hyperlink w:anchor="exhibit122certificationo.htm">
              <w:r>
                <w:rPr>
                  <w:rStyle w:val="InternetLink"/>
                  <w:rFonts w:ascii="Times New Roman;serif" w:hAnsi="Times New Roman;serif"/>
                  <w:b w:val="false"/>
                  <w:i w:val="false"/>
                  <w:caps w:val="false"/>
                  <w:smallCaps w:val="false"/>
                  <w:color w:val="000000"/>
                  <w:sz w:val="18"/>
                  <w:u w:val="single"/>
                </w:rPr>
                <w:t>Officer under Section 302 of the Sarbanes-</w:t>
              </w:r>
            </w:hyperlink>
          </w:p>
          <w:p>
            <w:pPr>
              <w:pStyle w:val="TableContents"/>
              <w:bidi w:val="0"/>
              <w:spacing w:lineRule="atLeast" w:line="180" w:before="0" w:after="0"/>
              <w:jc w:val="left"/>
              <w:rPr/>
            </w:pPr>
            <w:hyperlink w:anchor="exhibit122certificationo.htm">
              <w:r>
                <w:rPr>
                  <w:rStyle w:val="InternetLink"/>
                  <w:rFonts w:ascii="Times New Roman;serif" w:hAnsi="Times New Roman;serif"/>
                  <w:b w:val="false"/>
                  <w:i w:val="false"/>
                  <w:caps w:val="false"/>
                  <w:smallCaps w:val="false"/>
                  <w:color w:val="000000"/>
                  <w:sz w:val="18"/>
                  <w:u w:val="single"/>
                </w:rPr>
                <w:t>Oxley Act of 2002</w:t>
              </w:r>
            </w:hyperlink>
          </w:p>
        </w:tc>
        <w:tc>
          <w:tcPr>
            <w:tcW w:w="5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r>
    </w:tbl>
    <w:p>
      <w:pPr>
        <w:pStyle w:val="TextBody"/>
        <w:bidi w:val="0"/>
        <w:spacing w:lineRule="atLeast" w:line="240" w:before="0" w:after="0"/>
        <w:jc w:val="both"/>
        <w:rPr>
          <w:u w:val="single"/>
        </w:rPr>
      </w:pPr>
      <w:r>
        <w:rPr>
          <w:rFonts w:ascii="Times New Roman;serif" w:hAnsi="Times New Roman;serif"/>
          <w:b w:val="false"/>
          <w:i w:val="false"/>
          <w:caps w:val="false"/>
          <w:smallCaps w:val="false"/>
          <w:sz w:val="16"/>
          <w:u w:val="single"/>
        </w:rPr>
        <w:t>*</w:t>
      </w:r>
      <w:r>
        <w:rPr>
          <w:caps w:val="false"/>
          <w:smallCaps w:val="false"/>
          <w:u w:val="single"/>
        </w:rPr>
        <w:t xml:space="preserve">              </w:t>
      </w:r>
      <w:r>
        <w:rPr>
          <w:rFonts w:ascii="Times New Roman;serif" w:hAnsi="Times New Roman;serif"/>
          <w:b w:val="false"/>
          <w:i w:val="false"/>
          <w:caps w:val="false"/>
          <w:smallCaps w:val="false"/>
          <w:sz w:val="16"/>
          <w:u w:val="single"/>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SIGNATURES</w:t>
      </w:r>
    </w:p>
    <w:p>
      <w:pPr>
        <w:pStyle w:val="TextBody"/>
        <w:bidi w:val="0"/>
        <w:spacing w:lineRule="atLeast" w:line="200" w:before="0" w:after="0"/>
        <w:jc w:val="both"/>
        <w:rPr>
          <w:u w:val="single"/>
        </w:rPr>
      </w:pPr>
      <w:r>
        <w:rPr>
          <w:rFonts w:ascii="Times New Roman;serif" w:hAnsi="Times New Roman;serif"/>
          <w:b w:val="false"/>
          <w:i w:val="false"/>
          <w:caps w:val="false"/>
          <w:smallCaps w:val="false"/>
          <w:strike w:val="false"/>
          <w:dstrike w:val="false"/>
          <w:sz w:val="20"/>
          <w:u w:val="none"/>
          <w:effect w:val="none"/>
        </w:rPr>
        <w:t>The registrant hereby certifies that it meets all of the requirements for filing on Form 20-F and that it has duly caused</w:t>
      </w:r>
      <w:r>
        <w:rPr>
          <w:caps w:val="false"/>
          <w:smallCaps w:val="false"/>
          <w:strike w:val="false"/>
          <w:dstrike w:val="false"/>
          <w:u w:val="none"/>
          <w:effect w:val="none"/>
        </w:rPr>
        <w:t xml:space="preserve"> </w:t>
      </w:r>
    </w:p>
    <w:p>
      <w:pPr>
        <w:pStyle w:val="TextBody"/>
        <w:bidi w:val="0"/>
        <w:spacing w:lineRule="atLeast" w:line="200" w:before="0" w:after="0"/>
        <w:jc w:val="both"/>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authorized the undersigned to sign this Amendment No. 1 to the Annual Report on its behalf.</w:t>
      </w:r>
    </w:p>
    <w:tbl>
      <w:tblPr>
        <w:tblW w:w="4022" w:type="dxa"/>
        <w:jc w:val="left"/>
        <w:tblInd w:w="0" w:type="dxa"/>
        <w:tblLayout w:type="fixed"/>
        <w:tblCellMar>
          <w:top w:w="28" w:type="dxa"/>
          <w:left w:w="28" w:type="dxa"/>
          <w:bottom w:w="28" w:type="dxa"/>
          <w:right w:w="28" w:type="dxa"/>
        </w:tblCellMar>
      </w:tblPr>
      <w:tblGrid>
        <w:gridCol w:w="1786"/>
        <w:gridCol w:w="2236"/>
      </w:tblGrid>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trike w:val="false"/>
                <w:dstrike w:val="false"/>
                <w:sz w:val="18"/>
                <w:u w:val="none"/>
                <w:effect w:val="none"/>
                <w:shd w:fill="FFFFFF" w:val="clear"/>
              </w:rPr>
              <w:t xml:space="preserve">Dated: </w:t>
            </w:r>
            <w:r>
              <w:rPr>
                <w:rFonts w:ascii="Times New Roman;serif" w:hAnsi="Times New Roman;serif"/>
                <w:b w:val="false"/>
                <w:i w:val="false"/>
                <w:caps w:val="false"/>
                <w:smallCaps w:val="false"/>
                <w:sz w:val="18"/>
                <w:u w:val="single"/>
                <w:shd w:fill="FFFFFF" w:val="clear"/>
              </w:rPr>
              <w:t>October 2, 2026</w:t>
            </w:r>
          </w:p>
        </w:tc>
        <w:tc>
          <w:tcPr>
            <w:tcW w:w="2236" w:type="dxa"/>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Ferrovial N.V.</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color w:val="000000"/>
                <w:sz w:val="18"/>
                <w:u w:val="single"/>
              </w:rPr>
            </w:pPr>
            <w:r>
              <w:rPr>
                <w:rFonts w:ascii="Times New Roman;serif" w:hAnsi="Times New Roman;serif"/>
                <w:b w:val="false"/>
                <w:i w:val="false"/>
                <w:caps w:val="false"/>
                <w:smallCaps w:val="false"/>
                <w:color w:val="000000"/>
                <w:sz w:val="18"/>
                <w:u w:val="single"/>
              </w:rPr>
              <w:t>By:  /s/ Ignacio Madridejos</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Name: Ignacio Madridejos</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Title: Chief Executive Officer</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lineRule="atLeast" w:line="180" w:before="0" w:after="0"/>
              <w:jc w:val="left"/>
              <w:rPr/>
            </w:pPr>
            <w:r>
              <w:rPr>
                <w:rFonts w:ascii="Times New Roman;serif" w:hAnsi="Times New Roman;serif"/>
                <w:b w:val="false"/>
                <w:i w:val="false"/>
                <w:caps w:val="false"/>
                <w:smallCaps w:val="false"/>
                <w:sz w:val="18"/>
                <w:u w:val="single"/>
              </w:rPr>
              <w:t xml:space="preserve">By:  /s/ Ernesto Lopez </w:t>
            </w:r>
            <w:r>
              <w:rPr>
                <w:rFonts w:ascii="Times New Roman;serif" w:hAnsi="Times New Roman;serif"/>
                <w:b w:val="false"/>
                <w:i w:val="false"/>
                <w:caps w:val="false"/>
                <w:smallCaps w:val="false"/>
                <w:strike w:val="false"/>
                <w:dstrike w:val="false"/>
                <w:sz w:val="18"/>
                <w:u w:val="none"/>
                <w:effect w:val="none"/>
              </w:rPr>
              <w:t>Mozo</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Name: Ernesto López Mozo</w:t>
            </w:r>
          </w:p>
        </w:tc>
      </w:tr>
      <w:tr>
        <w:trPr/>
        <w:tc>
          <w:tcPr>
            <w:tcW w:w="178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Title: Chief Financial Officer</w:t>
            </w:r>
          </w:p>
        </w:tc>
      </w:tr>
    </w:tbl>
    <w:p>
      <w:pPr>
        <w:pStyle w:val="TextBody"/>
        <w:bidi w:val="0"/>
        <w:spacing w:before="0" w:after="0"/>
        <w:jc w:val="center"/>
        <w:rPr/>
      </w:pPr>
      <w:bookmarkStart w:id="0" w:name="exhibit121certificationo.htm"/>
      <w:bookmarkStart w:id="1" w:name="ksexhibit121certificationo"/>
      <w:bookmarkEnd w:id="0"/>
      <w:bookmarkEnd w:id="1"/>
      <w:r>
        <w:rPr/>
        <w:drawing>
          <wp:inline distT="0" distB="0" distL="0" distR="0">
            <wp:extent cx="10048875"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12.1 CERTIFICATION I, Ignacio Madridejos, certify that: 1. I have reviewed this annual report on Form 20-F/A of Ferrovial N.V. (formerly Ferrovial SE);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company as of, and for, the periods presented in this report. Date: October 2, 2026 /s/ Ignacio Madridejos Ignacio Madridejos Chief Executive Officer (principal executive officer)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122certificationo.htm"/>
      <w:bookmarkStart w:id="3" w:name="ksexhibit122certificationo"/>
      <w:bookmarkEnd w:id="2"/>
      <w:bookmarkEnd w:id="3"/>
      <w:r>
        <w:rPr/>
        <w:drawing>
          <wp:inline distT="0" distB="0" distL="0" distR="0">
            <wp:extent cx="10048875" cy="13001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12.2 CERTIFICATION I, Ernesto Lopez Mozo, certify that: 1. I have reviewed this annual report on Form 20-F/A of Ferrovial N.V. (formerly Ferrovial SE); 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3. Based on my knowledge, the financial statements, and other financial information included in this report, fairly present in all material respects the financial condition, results of operations and cash flows of the company as of, and for, the periods presented in this report. Date: October 2, 2026 /s/ Ernesto Lopez Mozo Ernesto Lopez Mozo Chief Financial Officer (principal financial officer)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13452</Words>
  <Characters>76966</Characters>
  <CharactersWithSpaces>89374</CharactersWithSpaces>
  <Paragraphs>1913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exhibit122certificationo</dc:title>
</cp:coreProperties>
</file>