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UNITED STATES</w:t>
      </w: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SECURITIES AND EXCHANGE COMMISSION</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Washington, D.C. 20549</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FORM 6-K</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REPORT OF FOREIGN PRIVATE ISSUER PURSUANT</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TO</w:t>
      </w:r>
      <w:r>
        <w:rPr>
          <w:rFonts w:ascii="Arial;sans-serif" w:hAnsi="Arial;sans-serif"/>
          <w:caps w:val="false"/>
          <w:smallCaps w:val="false"/>
          <w:shd w:fill="E4E4E4" w:val="clear"/>
        </w:rPr>
        <w:t xml:space="preserve"> </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SECTION</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13a-16</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OR</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15d-</w:t>
      </w:r>
      <w:r>
        <w:rPr>
          <w:rFonts w:ascii="Times New Roman;serif" w:hAnsi="Times New Roman;serif"/>
          <w:b/>
          <w:i w:val="false"/>
          <w:caps w:val="false"/>
          <w:smallCaps w:val="false"/>
          <w:sz w:val="24"/>
          <w:shd w:fill="E4E4E4" w:val="clear"/>
        </w:rPr>
        <w:t xml:space="preserve">16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UNDER THE SECURITIES EXCHANGE ACT OF 1934</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For the month of September 2026</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Commission</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File</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Number:</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4"/>
          <w:shd w:fill="E4E4E4" w:val="clear"/>
        </w:rPr>
        <w:t>001-41912</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Ferrovial N.V.</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Gustav Mahlerplein 61-63</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Symphony Towers, 14</w:t>
      </w:r>
      <w:r>
        <w:rPr>
          <w:rFonts w:ascii="Times New Roman;serif" w:hAnsi="Times New Roman;serif"/>
          <w:b/>
          <w:i w:val="false"/>
          <w:caps w:val="false"/>
          <w:smallCaps w:val="false"/>
          <w:sz w:val="13"/>
          <w:shd w:fill="E4E4E4" w:val="clear"/>
        </w:rPr>
        <w:t>th</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Floor</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1082 MS Amsterdam</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The Netherlands</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Tel:</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+31 20798 37 02</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(Address</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of</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principal</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executive</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4"/>
          <w:shd w:fill="E4E4E4" w:val="clear"/>
        </w:rPr>
        <w:t>office)</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Indicate by check mark whether the registrant files or will file annual reports under cover of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Form 20-F or Form 40-F.</w:t>
      </w:r>
    </w:p>
    <w:p>
      <w:pPr>
        <w:pStyle w:val="TextBody"/>
        <w:bidi w:val="0"/>
        <w:spacing w:lineRule="atLeast" w:line="175" w:before="0" w:after="0"/>
        <w:jc w:val="left"/>
        <w:rPr>
          <w:rFonts w:ascii="Arial;sans-serif" w:hAnsi="Arial;sans-serif"/>
          <w:shd w:fill="E4E4E4" w:val="clear"/>
        </w:rPr>
      </w:pPr>
      <w:r>
        <w:rPr>
          <w:rFonts w:ascii="Times New Roman;serif" w:hAnsi="Times New Roman;serif"/>
          <w:b w:val="false"/>
          <w:i w:val="false"/>
          <w:caps w:val="false"/>
          <w:smallCaps w:val="false"/>
          <w:sz w:val="24"/>
          <w:shd w:fill="E4E4E4" w:val="clear"/>
        </w:rPr>
        <w:t xml:space="preserve">Form 20-F </w:t>
      </w:r>
      <w:r>
        <w:rPr>
          <w:rFonts w:ascii="Arial;sans-serif" w:hAnsi="Arial;sans-serif"/>
          <w:caps w:val="false"/>
          <w:smallCaps w:val="false"/>
          <w:shd w:fill="E4E4E4" w:val="clear"/>
        </w:rPr>
        <w:t xml:space="preserve">☒ </w:t>
      </w:r>
      <w:r>
        <w:rPr>
          <w:rFonts w:ascii="Times New Roman;serif" w:hAnsi="Times New Roman;serif"/>
          <w:b w:val="false"/>
          <w:i w:val="false"/>
          <w:caps w:val="false"/>
          <w:smallCaps w:val="false"/>
          <w:sz w:val="24"/>
          <w:shd w:fill="E4E4E4" w:val="clear"/>
        </w:rPr>
        <w:t xml:space="preserve">Form 40-F </w:t>
      </w:r>
      <w:r>
        <w:rPr>
          <w:rFonts w:ascii="Arial;sans-serif" w:hAnsi="Arial;sans-serif"/>
          <w:caps w:val="false"/>
          <w:smallCaps w:val="false"/>
          <w:shd w:fill="E4E4E4"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EXPLANATORY NOTE</w:t>
      </w:r>
      <w:r>
        <mc:AlternateContent>
          <mc:Choice Requires="wps">
            <w:drawing>
              <wp:anchor behindDoc="0" distT="0" distB="0" distL="0" distR="0" simplePos="0" locked="0" layoutInCell="1" allowOverlap="1" relativeHeight="2">
                <wp:simplePos x="0" y="0"/>
                <wp:positionH relativeFrom="page">
                  <wp:posOffset>914400</wp:posOffset>
                </wp:positionH>
                <wp:positionV relativeFrom="line">
                  <wp:posOffset>635</wp:posOffset>
                </wp:positionV>
                <wp:extent cx="1457325" cy="908685"/>
                <wp:effectExtent l="0" t="0" r="0" b="0"/>
                <wp:wrapNone/>
                <wp:docPr id="1" name="Frame1"/>
                <a:graphic xmlns:a="http://schemas.openxmlformats.org/drawingml/2006/main">
                  <a:graphicData uri="http://schemas.microsoft.com/office/word/2010/wordprocessingShape">
                    <wps:wsp>
                      <wps:cNvSpPr txBox="1"/>
                      <wps:spPr>
                        <a:xfrm>
                          <a:off x="0" y="0"/>
                          <a:ext cx="1457325" cy="908685"/>
                        </a:xfrm>
                        <a:prstGeom prst="rect"/>
                        <a:solidFill>
                          <a:srgbClr val="FFFFFF"/>
                        </a:solidFill>
                      </wps:spPr>
                      <wps:txbx>
                        <w:txbxContent>
                          <w:tbl>
                            <w:tblPr>
                              <w:tblW w:w="278" w:type="dxa"/>
                              <w:jc w:val="left"/>
                              <w:tblInd w:w="0" w:type="dxa"/>
                              <w:tblLayout w:type="fixed"/>
                              <w:tblCellMar>
                                <w:top w:w="28" w:type="dxa"/>
                                <w:left w:w="28" w:type="dxa"/>
                                <w:bottom w:w="28" w:type="dxa"/>
                                <w:right w:w="28" w:type="dxa"/>
                              </w:tblCellMar>
                            </w:tblPr>
                            <w:tblGrid>
                              <w:gridCol w:w="12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4.75pt;height:71.55pt;mso-wrap-distance-left:0pt;mso-wrap-distance-right:0pt;mso-wrap-distance-top:0pt;mso-wrap-distance-bottom:0pt;margin-top:0pt;mso-position-vertical:top;mso-position-vertical-relative:text;margin-left:72pt;mso-position-horizontal-relative:page">
                <v:textbox>
                  <w:txbxContent>
                    <w:tbl>
                      <w:tblPr>
                        <w:tblW w:w="278" w:type="dxa"/>
                        <w:jc w:val="left"/>
                        <w:tblInd w:w="0" w:type="dxa"/>
                        <w:tblLayout w:type="fixed"/>
                        <w:tblCellMar>
                          <w:top w:w="28" w:type="dxa"/>
                          <w:left w:w="28" w:type="dxa"/>
                          <w:bottom w:w="28" w:type="dxa"/>
                          <w:right w:w="28" w:type="dxa"/>
                        </w:tblCellMar>
                      </w:tblPr>
                      <w:tblGrid>
                        <w:gridCol w:w="12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Ferrovial N.V. is submitting this current report on Form 6-K to announce the extension of the duration of its current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share repurchase program announced on 12 December 2025.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Attached to this current report on Form 6-K is:</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(1) a press release dated on September 14, 2026 as Exhibit 99.1.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EXHIBIT INDEX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SIGNATURES</w:t>
      </w:r>
      <w:r>
        <mc:AlternateContent>
          <mc:Choice Requires="wps">
            <w:drawing>
              <wp:anchor behindDoc="0" distT="0" distB="0" distL="0" distR="0" simplePos="0" locked="0" layoutInCell="1" allowOverlap="1" relativeHeight="6">
                <wp:simplePos x="0" y="0"/>
                <wp:positionH relativeFrom="page">
                  <wp:posOffset>914400</wp:posOffset>
                </wp:positionH>
                <wp:positionV relativeFrom="line">
                  <wp:posOffset>635</wp:posOffset>
                </wp:positionV>
                <wp:extent cx="6543675" cy="921385"/>
                <wp:effectExtent l="0" t="0" r="0" b="0"/>
                <wp:wrapNone/>
                <wp:docPr id="2" name="Frame2"/>
                <a:graphic xmlns:a="http://schemas.openxmlformats.org/drawingml/2006/main">
                  <a:graphicData uri="http://schemas.microsoft.com/office/word/2010/wordprocessingShape">
                    <wps:wsp>
                      <wps:cNvSpPr txBox="1"/>
                      <wps:spPr>
                        <a:xfrm>
                          <a:off x="0" y="0"/>
                          <a:ext cx="6543675" cy="921385"/>
                        </a:xfrm>
                        <a:prstGeom prst="rect"/>
                        <a:solidFill>
                          <a:srgbClr val="FFFFFF"/>
                        </a:solidFill>
                      </wps:spPr>
                      <wps:txbx>
                        <w:txbxContent>
                          <w:tbl>
                            <w:tblPr>
                              <w:tblW w:w="10376" w:type="dxa"/>
                              <w:jc w:val="left"/>
                              <w:tblInd w:w="0" w:type="dxa"/>
                              <w:tblLayout w:type="fixed"/>
                              <w:tblCellMar>
                                <w:top w:w="28" w:type="dxa"/>
                                <w:left w:w="28" w:type="dxa"/>
                                <w:bottom w:w="28" w:type="dxa"/>
                                <w:right w:w="28" w:type="dxa"/>
                              </w:tblCellMar>
                            </w:tblPr>
                            <w:tblGrid>
                              <w:gridCol w:w="1091"/>
                              <w:gridCol w:w="109"/>
                              <w:gridCol w:w="9176"/>
                            </w:tblGrid>
                            <w:tr>
                              <w:trPr/>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tcBorders>
                                    <w:top w:val="single" w:sz="8" w:space="0" w:color="000000"/>
                                  </w:tcBorders>
                                  <w:tcMar>
                                    <w:left w:w="0" w:type="dxa"/>
                                    <w:bottom w:w="0" w:type="dxa"/>
                                    <w:right w:w="0" w:type="dxa"/>
                                  </w:tcMar>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99.1</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5.25pt;height:72.55pt;mso-wrap-distance-left:0pt;mso-wrap-distance-right:0pt;mso-wrap-distance-top:0pt;mso-wrap-distance-bottom:0pt;margin-top:0pt;mso-position-vertical:top;mso-position-vertical-relative:text;margin-left:72pt;mso-position-horizontal-relative:page">
                <v:textbox>
                  <w:txbxContent>
                    <w:tbl>
                      <w:tblPr>
                        <w:tblW w:w="10376" w:type="dxa"/>
                        <w:jc w:val="left"/>
                        <w:tblInd w:w="0" w:type="dxa"/>
                        <w:tblLayout w:type="fixed"/>
                        <w:tblCellMar>
                          <w:top w:w="28" w:type="dxa"/>
                          <w:left w:w="28" w:type="dxa"/>
                          <w:bottom w:w="28" w:type="dxa"/>
                          <w:right w:w="28" w:type="dxa"/>
                        </w:tblCellMar>
                      </w:tblPr>
                      <w:tblGrid>
                        <w:gridCol w:w="1091"/>
                        <w:gridCol w:w="109"/>
                        <w:gridCol w:w="9176"/>
                      </w:tblGrid>
                      <w:tr>
                        <w:trPr/>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tcBorders>
                              <w:top w:val="single" w:sz="8" w:space="0" w:color="000000"/>
                            </w:tcBorders>
                            <w:tcMar>
                              <w:left w:w="0" w:type="dxa"/>
                              <w:bottom w:w="0" w:type="dxa"/>
                              <w:right w:w="0" w:type="dxa"/>
                            </w:tcMar>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99.1</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28650" cy="350520"/>
                <wp:effectExtent l="0" t="0" r="0" b="0"/>
                <wp:wrapNone/>
                <wp:docPr id="3" name="Frame3"/>
                <a:graphic xmlns:a="http://schemas.openxmlformats.org/drawingml/2006/main">
                  <a:graphicData uri="http://schemas.microsoft.com/office/word/2010/wordprocessingShape">
                    <wps:wsp>
                      <wps:cNvSpPr txBox="1"/>
                      <wps:spPr>
                        <a:xfrm>
                          <a:off x="0" y="0"/>
                          <a:ext cx="628650" cy="350520"/>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 xml:space="preserve">Exhibit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No.</w:t>
                            </w:r>
                          </w:p>
                        </w:txbxContent>
                      </wps:txbx>
                      <wps:bodyPr anchor="t" lIns="0" tIns="0" rIns="0" bIns="0">
                        <a:noAutofit/>
                      </wps:bodyPr>
                    </wps:wsp>
                  </a:graphicData>
                </a:graphic>
              </wp:anchor>
            </w:drawing>
          </mc:Choice>
          <mc:Fallback>
            <w:pict>
              <v:rect style="position:absolute;rotation:-0;width:4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 xml:space="preserve">Exhibit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No.</w:t>
                      </w:r>
                    </w:p>
                  </w:txbxContent>
                </v:textbox>
                <w10:wrap type="none"/>
              </v:rect>
            </w:pict>
          </mc:Fallback>
        </mc:AlternateContent>
      </w:r>
      <w:r>
        <mc:AlternateContent>
          <mc:Choice Requires="wps">
            <w:drawing>
              <wp:anchor behindDoc="0" distT="0" distB="0" distL="0" distR="0" simplePos="0" locked="0" layoutInCell="1" allowOverlap="1" relativeHeight="9">
                <wp:simplePos x="0" y="0"/>
                <wp:positionH relativeFrom="page">
                  <wp:posOffset>800100</wp:posOffset>
                </wp:positionH>
                <wp:positionV relativeFrom="line">
                  <wp:posOffset>635</wp:posOffset>
                </wp:positionV>
                <wp:extent cx="5743575" cy="175260"/>
                <wp:effectExtent l="0" t="0" r="0" b="0"/>
                <wp:wrapNone/>
                <wp:docPr id="4" name="Frame4"/>
                <a:graphic xmlns:a="http://schemas.openxmlformats.org/drawingml/2006/main">
                  <a:graphicData uri="http://schemas.microsoft.com/office/word/2010/wordprocessingShape">
                    <wps:wsp>
                      <wps:cNvSpPr txBox="1"/>
                      <wps:spPr>
                        <a:xfrm>
                          <a:off x="0" y="0"/>
                          <a:ext cx="5743575" cy="175260"/>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Description</w:t>
                            </w:r>
                          </w:p>
                        </w:txbxContent>
                      </wps:txbx>
                      <wps:bodyPr anchor="t" lIns="0" tIns="0" rIns="0" bIns="0">
                        <a:noAutofit/>
                      </wps:bodyPr>
                    </wps:wsp>
                  </a:graphicData>
                </a:graphic>
              </wp:anchor>
            </w:drawing>
          </mc:Choice>
          <mc:Fallback>
            <w:pict>
              <v:rect style="position:absolute;rotation:-0;width:452.25pt;height:13.8pt;mso-wrap-distance-left:0pt;mso-wrap-distance-right:0pt;mso-wrap-distance-top:0pt;mso-wrap-distance-bottom:0pt;margin-top:0pt;mso-position-vertical:top;mso-position-vertical-relative:text;margin-left:63pt;mso-position-horizontal-relative:page">
                <v:textbo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Description</w:t>
                      </w:r>
                    </w:p>
                  </w:txbxContent>
                </v:textbox>
                <w10:wrap type="none"/>
              </v:rect>
            </w:pict>
          </mc:Fallback>
        </mc:AlternateConten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Pursuant to the requirements of the Securities Exchange Act of 1934, as amended, the registrant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has duly caused this report to be signed on its behalf by the undersigned, thereunto duly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authorized.</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Ferrovial N.V.</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Date: September 14, 2026                                                                                      </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z w:val="24"/>
          <w:shd w:fill="E4E4E4" w:val="clear"/>
        </w:rPr>
        <w:t xml:space="preserve">By: </w:t>
      </w:r>
      <w:r>
        <w:rPr>
          <w:rFonts w:ascii="Times New Roman;serif" w:hAnsi="Times New Roman;serif"/>
          <w:b w:val="false"/>
          <w:i w:val="false"/>
          <w:caps w:val="false"/>
          <w:smallCaps w:val="false"/>
          <w:sz w:val="24"/>
          <w:u w:val="single"/>
          <w:shd w:fill="E4E4E4" w:val="clear"/>
        </w:rPr>
        <w:t xml:space="preserve">/s/ Ernesto López Mozo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Ernesto López Mozo</w:t>
      </w:r>
    </w:p>
    <w:p>
      <w:pPr>
        <w:pStyle w:val="TextBody"/>
        <w:bidi w:val="0"/>
        <w:spacing w:lineRule="atLeast" w:line="166"/>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Chief Financial Officer</w:t>
      </w:r>
    </w:p>
    <w:p>
      <w:pPr>
        <w:pStyle w:val="TextBody"/>
        <w:bidi w:val="0"/>
        <w:spacing w:before="0" w:after="0"/>
        <w:jc w:val="center"/>
        <w:rPr/>
      </w:pPr>
      <w:bookmarkStart w:id="0" w:name="a20260914sbbprogramexten.htm"/>
      <w:bookmarkStart w:id="1" w:name="ksa20260914sbbprogramexten"/>
      <w:bookmarkEnd w:id="0"/>
      <w:bookmarkEnd w:id="1"/>
      <w:r>
        <w:rPr/>
        <w:drawing>
          <wp:inline distT="0" distB="0" distL="0" distR="0">
            <wp:extent cx="9191625" cy="130016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 3 FERROVIAL N.V. ANNOUNCES EXTENSION OF ITS SHARE REPURCHASE PROGRAM Amsterdam, 14 September 2026 – Reference is made to the announcement made on 12 December 2025, in which Ferrovial N.V. (“Ferrovial”, Ticker: “FER”) announced the implementation of a new share repurchase program (the “Repurchase Program”). The Repurchase Program was authorized for, among others, a maximum amount of EUR 800,000,000, a maximum of 15 million Ferrovial shares, and a period from 15 December 2025 up to 15 October 2026 (both inclusive). Within the framework of the Repurchase Program, since its beginning up to and including 11 September 2026, Ferrovial has repurchased a total of 6,180,574 Ferrovial shares for a total amount of EUR 357,895,778.40. Ferrovial has resolved to extend the duration of the Repurchase Program until 3 March 2027 inclusive. This is without prejudice to Ferrovial’s ability to extend the Repurchase Program’s duration again in view of the prevailing circumstances and in the interest of the Ferrovial and its stakeholders. Likewise, Ferrovial reserves the right to terminate the Repurchase Program, in accordance with applicable law, if, prior to its term, it has reached the maximum investment amount or the maximum number of shares authorized, or if any other circumstance makes it advisable to do so. All other terms of the Repurchase Program as set out in the announcement of 12 December 2025 remain unchanged. Forward-looking statements This announcement contains forward-looking statements, which include statements with respect to Ferrovial’s ongoing share repurchase program. Any express or implied statements contained in this announcement that are not statements of historical fact may be deemed to be forward-looking statements, including, without limitation, statements regarding estimates and projections provided by Ferrovial and certain other sources with respect to Ferrovial’s financial position, business strategy, plans, and objectives of management for future operations, dividends, capital structure, as well as statements that include the words “expect,” “aim,” “intend,” “plan,” “believe,” “project,” “forecast,” “estimate,” “may,” “will”, “should,” “target,” “anticipate” and similar statements of a future or forward-looking nature, or the negative of these terms or other similar expressions, although not all forward-looking statements contain these words. Such statements may reflect various assumptions by Ferrovial and are subject to significant business, regulatory, economic and competitive uncertainties and contingencies, and known and unknown risks, many of which are beyond Ferrovial’s control and may be impossible to predict. Ferrovial gives no representation or warranty as to the accuracy or completeness of such statements, expectations, estimates and projections contained in this announcement or that any forecast made or contained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 3 herein will be achieved. Risks and uncertainties that could cause actual results to differ include, without limitation: risks related to our diverse geographical operations and business divisions; general economic and political conditions and events and the impact they may have on us, including, but not limited to, impacts on demand or public fund allocation in the industries in which we operate, volatility or increases in inflation rates and rates of interest, exchange rate fluctuations, increased costs and availability of materials, and other ongoing impacts including from, for example, changes in tariff regimes, the Russia/Ukraine conflict, and the Middle East conflict; our legal and regulatory risks given that we operate in highly regulated environments, and the impact of any changes in governmental laws and regulations, including but not limited to tax regimes or regulations; the fact that our business is derived from a small number of major projects; risks related to government contracting; the impact of competitive pressures in our industries, including on bid success and pricing; risks related to our acquisitions, divestments and other strategic transactions that we may undertake; cyber threats or other technology disruptions; our ability accurately to develop estimates or the impact of changes in our underlying assumptions, with respect to project plans, including project timing and budgets, and our ability to meet contractual expectations with respect thereto; the impacts of accidents, disruptions, or other incidents at our project sites and facilities; our ability to obtain adequate financing or access to capital in the future as needed and the impact of reliance on joint venture and partnership arrangements; our reliance on and ability to locate, select, monitor, and manage subcontractors and service providers; the impact of certain swaps and hedging arrangements we enter into from time to time; limitations on our ability to declare and fund future dividends or other distributions, and distribution processes and timelines; our ability to maintain compliance with the continued listing requirements of Nasdaq Global Select Market and the Spanish Stock Exchanges; lawsuits and other claims by third parties or investigations by various regulatory agencies that we may be subject to; our ability to comply with our ESG commitments or other sustainability demands, including changing or conflicting expectations in connection with sustainability and ESG matters; physical and transitional risks in connection with the impacts of climate change; risks related to the adequacy or existence of our insurance coverage and any non-recoverable losses; and the other important factors discussed under the caption “Risk Factors” in our Annual Report on Form 20-F filed with the U.S. Securities and Exchange Commission (“SEC”) for the fiscal year ended December 31, 2025 which is available on the SEC website at www.sec.gov, as such factors may be updated from time to time in our other filings with the SEC. Any forward-looking statements contained in this announcement speak only as of the date hereof and accordingly undue reliance should not be placed on such statements. We disclaim any obligation or undertaking to update or revise any forward-looking statements contained in this announcement, whether as a result of new information, future events or otherwise, other than to the extent required by applicable law. Forward-looking statements in this announcement are made pursuant to the safe harbor provisions contained in the U.S. Private Securities Litigation Reform Act of 1995. We intend such forward-looking statements to be covered by relevant safe harbor provisions for forward-looking statements (or their equivalent) of any applicable jurisdiction.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 3 About Ferrovial Ferrovial is a leading global infrastructure company transforming highways, airports, and energy around the world. Its distinctive integrated business model supports the entire lifecycle of complex projects, from design and financing to construction, operation and maintenance. Ferrovial has a global presence and employs more than 22,500 people worldwide. North America is Ferrovial’s growth engine, where it developed and is currently operating five Express Lanes across Texas, North Carolina and Virginia, and is managing the 407 ETR highway in Toronto, Canada. Ferrovial is also leading the development of the New Terminal One at JFK International Airport. Ferrovial shares trade under the ticker symbol FER on two stock markets: Nasdaq in the U.S. (included in Nasdaq100 Index) and the Spanish Stock Exchanges (included in IBEX35). Ferrovial is included in globally recognized sustainability indices such as the Dow Jones Best-in-Class Index.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1343</Words>
  <Characters>7732</Characters>
  <CharactersWithSpaces>9134</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a20260914sbbprogramexten</dc:title>
</cp:coreProperties>
</file>