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REPORT OF FOREIGN PRIVATE ISSUER PURSUANT</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TO</w:t>
      </w:r>
      <w:r>
        <w:rPr>
          <w:rFonts w:ascii="Arial;sans-serif" w:hAnsi="Arial;sans-serif"/>
          <w:caps w:val="false"/>
          <w:smallCaps w:val="false"/>
          <w:shd w:fill="E4E4E4" w:val="clear"/>
        </w:rPr>
        <w:t xml:space="preserve"> </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SECTION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13a-16</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15d-</w:t>
      </w:r>
      <w:r>
        <w:rPr>
          <w:rFonts w:ascii="Times New Roman;serif" w:hAnsi="Times New Roman;serif"/>
          <w:b/>
          <w:i w:val="false"/>
          <w:caps w:val="false"/>
          <w:smallCaps w:val="false"/>
          <w:sz w:val="24"/>
          <w:shd w:fill="E4E4E4" w:val="clear"/>
        </w:rPr>
        <w:t xml:space="preserve">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Date: For the month of September 2026</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Commission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File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Number: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001-41912</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+31 20798 37 02</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 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line">
                  <wp:posOffset>635</wp:posOffset>
                </wp:positionV>
                <wp:extent cx="1457325" cy="908685"/>
                <wp:effectExtent l="0" t="0" r="0" b="0"/>
                <wp:wrapNone/>
                <wp:docPr id="1" name="Frame1"/>
                <a:graphic xmlns:a="http://schemas.openxmlformats.org/drawingml/2006/main">
                  <a:graphicData uri="http://schemas.microsoft.com/office/word/2010/wordprocessingShape">
                    <wps:wsp>
                      <wps:cNvSpPr txBox="1"/>
                      <wps:spPr>
                        <a:xfrm>
                          <a:off x="0" y="0"/>
                          <a:ext cx="1457325" cy="908685"/>
                        </a:xfrm>
                        <a:prstGeom prst="rect"/>
                        <a:solidFill>
                          <a:srgbClr val="FFFFFF"/>
                        </a:solidFill>
                      </wps:spPr>
                      <wps:txb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4.75pt;height:71.55pt;mso-wrap-distance-left:0pt;mso-wrap-distance-right:0pt;mso-wrap-distance-top:0pt;mso-wrap-distance-bottom:0pt;margin-top:0pt;mso-position-vertical:top;mso-position-vertical-relative:text;margin-left:72pt;mso-position-horizontal-relative:page">
                <v:textbo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Ferrovial N.V. is submitting this current report on Form 6-K to announce that the delisting of its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ordinary shares from Euronext Amsterdam announced on August 13, 2026 has become effective.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Attached to this report on Form 6-K is: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(1) a press release dated September 11, 2026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4">
                <wp:simplePos x="0" y="0"/>
                <wp:positionH relativeFrom="page">
                  <wp:posOffset>914400</wp:posOffset>
                </wp:positionH>
                <wp:positionV relativeFrom="line">
                  <wp:posOffset>635</wp:posOffset>
                </wp:positionV>
                <wp:extent cx="6543675" cy="921385"/>
                <wp:effectExtent l="0" t="0" r="0" b="0"/>
                <wp:wrapNone/>
                <wp:docPr id="2" name="Frame2"/>
                <a:graphic xmlns:a="http://schemas.openxmlformats.org/drawingml/2006/main">
                  <a:graphicData uri="http://schemas.microsoft.com/office/word/2010/wordprocessingShape">
                    <wps:wsp>
                      <wps:cNvSpPr txBox="1"/>
                      <wps:spPr>
                        <a:xfrm>
                          <a:off x="0" y="0"/>
                          <a:ext cx="6543675" cy="921385"/>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72.55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28650" cy="350520"/>
                <wp:effectExtent l="0" t="0" r="0" b="0"/>
                <wp:wrapNone/>
                <wp:docPr id="3" name="Frame3"/>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800100</wp:posOffset>
                </wp:positionH>
                <wp:positionV relativeFrom="line">
                  <wp:posOffset>635</wp:posOffset>
                </wp:positionV>
                <wp:extent cx="5743575" cy="175260"/>
                <wp:effectExtent l="0" t="0" r="0" b="0"/>
                <wp:wrapNone/>
                <wp:docPr id="4" name="Frame4"/>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r>
        <mc:AlternateContent>
          <mc:Choice Requires="wps">
            <w:drawing>
              <wp:anchor behindDoc="0" distT="0" distB="0" distL="0" distR="0" simplePos="0" locked="0" layoutInCell="1" allowOverlap="1" relativeHeight="8">
                <wp:simplePos x="0" y="0"/>
                <wp:positionH relativeFrom="page">
                  <wp:posOffset>914400</wp:posOffset>
                </wp:positionH>
                <wp:positionV relativeFrom="line">
                  <wp:posOffset>635</wp:posOffset>
                </wp:positionV>
                <wp:extent cx="5942965" cy="175260"/>
                <wp:effectExtent l="0" t="0" r="0" b="0"/>
                <wp:wrapNone/>
                <wp:docPr id="5" name="Frame6"/>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Pursuant to the requirements of the Securities Exchange Act of 1934, as amended, the registrant</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Pursuant to the requirements of the Securities Exchange Act of 1934, as amended, the registrant</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6857365</wp:posOffset>
                </wp:positionH>
                <wp:positionV relativeFrom="line">
                  <wp:posOffset>635</wp:posOffset>
                </wp:positionV>
                <wp:extent cx="38100" cy="175260"/>
                <wp:effectExtent l="0" t="0" r="0" b="0"/>
                <wp:wrapNone/>
                <wp:docPr id="6" name="Frame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914400</wp:posOffset>
                </wp:positionH>
                <wp:positionV relativeFrom="line">
                  <wp:posOffset>635</wp:posOffset>
                </wp:positionV>
                <wp:extent cx="5942965" cy="175260"/>
                <wp:effectExtent l="0" t="0" r="0" b="0"/>
                <wp:wrapNone/>
                <wp:docPr id="7" name="Frame8"/>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has duly caused this report to be signed on its behalf by the undersigned, thereunto duly</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has duly caused this report to be signed on its behalf by the undersigned, thereunto duly</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6857365</wp:posOffset>
                </wp:positionH>
                <wp:positionV relativeFrom="line">
                  <wp:posOffset>635</wp:posOffset>
                </wp:positionV>
                <wp:extent cx="38100" cy="175260"/>
                <wp:effectExtent l="0" t="0" r="0" b="0"/>
                <wp:wrapNone/>
                <wp:docPr id="8" name="Frame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914400</wp:posOffset>
                </wp:positionH>
                <wp:positionV relativeFrom="line">
                  <wp:posOffset>635</wp:posOffset>
                </wp:positionV>
                <wp:extent cx="680720" cy="350520"/>
                <wp:effectExtent l="0" t="0" r="0" b="0"/>
                <wp:wrapNone/>
                <wp:docPr id="9" name="Frame10"/>
                <a:graphic xmlns:a="http://schemas.openxmlformats.org/drawingml/2006/main">
                  <a:graphicData uri="http://schemas.microsoft.com/office/word/2010/wordprocessingShape">
                    <wps:wsp>
                      <wps:cNvSpPr txBox="1"/>
                      <wps:spPr>
                        <a:xfrm>
                          <a:off x="0" y="0"/>
                          <a:ext cx="6807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authorized.</w:t>
                            </w:r>
                          </w:p>
                        </w:txbxContent>
                      </wps:txbx>
                      <wps:bodyPr anchor="t" lIns="0" tIns="0" rIns="0" bIns="0">
                        <a:noAutofit/>
                      </wps:bodyPr>
                    </wps:wsp>
                  </a:graphicData>
                </a:graphic>
              </wp:anchor>
            </w:drawing>
          </mc:Choice>
          <mc:Fallback>
            <w:pict>
              <v:rect style="position:absolute;rotation:-0;width:53.6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authorized.</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Date: September 11, 2026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By: </w:t>
      </w:r>
      <w:r>
        <w:rPr>
          <w:rFonts w:ascii="Times New Roman;serif" w:hAnsi="Times New Roman;serif"/>
          <w:b w:val="false"/>
          <w:i w:val="false"/>
          <w:caps w:val="false"/>
          <w:smallCaps w:val="false"/>
          <w:sz w:val="24"/>
          <w:u w:val="single"/>
          <w:shd w:fill="E4E4E4" w:val="clear"/>
        </w:rPr>
        <w:t xml:space="preserve">/s/ Ernesto López Mozo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Ernesto López Mozo</w:t>
      </w:r>
    </w:p>
    <w:p>
      <w:pPr>
        <w:pStyle w:val="TextBody"/>
        <w:bidi w:val="0"/>
        <w:spacing w:lineRule="atLeast" w:line="166"/>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Chief Financial Officer</w:t>
      </w:r>
    </w:p>
    <w:p>
      <w:pPr>
        <w:pStyle w:val="TextBody"/>
        <w:bidi w:val="0"/>
        <w:spacing w:before="0" w:after="0"/>
        <w:jc w:val="center"/>
        <w:rPr/>
      </w:pPr>
      <w:bookmarkStart w:id="0" w:name="delistingeffectiveness.htm"/>
      <w:bookmarkStart w:id="1" w:name="ksdelistingeffectiveness"/>
      <w:bookmarkEnd w:id="0"/>
      <w:bookmarkEnd w:id="1"/>
      <w:r>
        <w:rPr/>
        <w:drawing>
          <wp:inline distT="0" distB="0" distL="0" distR="0">
            <wp:extent cx="9191625" cy="130016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 1 FERROVIAL N.V. ANNOUNCES EFFECTIVENESS OF ITS DELISTING FROM EURONEXT AMSTERDAM Amsterdam, 11 September 2026 – Reference is made to the announcement made on 13 August 2026. Ferrovial N.V. ("Ferrovial", Ticker: "FER") announces that, as of today, the delisting of its ordinary shares from Euronext Amsterdam has become effective and trading of Ferrovial’s ordinary shares on this stock exchange has ceased. Ferrovial remains listed on the Madrid, Barcelona, Bilbao and Valencia Stock Exchanges (the Spanish Stock Exchanges) and the Nasdaq Global Select Market (Nasdaq). The delisting from Euronext Amsterdam does not impact Ferrovial being a Dutch company which remains subject to the Dutch corporate governance and regulatory framework.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Ferrovial has a global presence and employs more than 22,500 people worldwide. North America is Ferrovial’s growth engine, where it developed and is currently operating five Express Lanes across Texas, North Carolina and Virginia, and is managing the 407 ETR highway in Toronto, Canada. Ferrovial is also leading the development of the New Terminal One at JFK International Airport. Ferrovial shares trade under the ticker symbol FER on two stock markets: Nasdaq in the U.S. (included in Nasdaq100 Index) and the Spanish Stock Exchanges (included in IBEX35). Ferrovial is included in globally recognized sustainability indices such as the Dow Jones Best-in-Class Index.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461</Words>
  <Characters>2664</Characters>
  <CharactersWithSpaces>3177</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delistingeffectiveness</dc:title>
</cp:coreProperties>
</file>