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190" w:before="0" w:after="0"/>
        <w:jc w:val="left"/>
        <w:rPr>
          <w:rFonts w:ascii="Times New Roman;serif" w:hAnsi="Times New Roman;serif"/>
          <w:b/>
          <w:i w:val="false"/>
          <w:caps w:val="false"/>
          <w:smallCaps w:val="false"/>
          <w:sz w:val="28"/>
          <w:shd w:fill="E4E4E4" w:val="clear"/>
        </w:rPr>
      </w:pPr>
      <w:r>
        <w:rPr>
          <w:rFonts w:ascii="Times New Roman;serif" w:hAnsi="Times New Roman;serif"/>
          <w:b/>
          <w:i w:val="false"/>
          <w:caps w:val="false"/>
          <w:smallCaps w:val="false"/>
          <w:sz w:val="28"/>
          <w:shd w:fill="E4E4E4" w:val="clear"/>
        </w:rPr>
        <w:t>UNITED STATES</w:t>
      </w:r>
    </w:p>
    <w:p>
      <w:pPr>
        <w:pStyle w:val="TextBody"/>
        <w:bidi w:val="0"/>
        <w:spacing w:lineRule="atLeast" w:line="190" w:before="0" w:after="0"/>
        <w:jc w:val="left"/>
        <w:rPr>
          <w:rFonts w:ascii="Times New Roman;serif" w:hAnsi="Times New Roman;serif"/>
          <w:b/>
          <w:i w:val="false"/>
          <w:caps w:val="false"/>
          <w:smallCaps w:val="false"/>
          <w:sz w:val="28"/>
          <w:shd w:fill="E4E4E4" w:val="clear"/>
        </w:rPr>
      </w:pPr>
      <w:r>
        <w:rPr>
          <w:rFonts w:ascii="Times New Roman;serif" w:hAnsi="Times New Roman;serif"/>
          <w:b/>
          <w:i w:val="false"/>
          <w:caps w:val="false"/>
          <w:smallCaps w:val="false"/>
          <w:sz w:val="28"/>
          <w:shd w:fill="E4E4E4" w:val="clear"/>
        </w:rPr>
        <w:t>SECURITIES AND EXCHANGE COMMISSION</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Washington, D.C. 20549</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___________________________</w:t>
      </w:r>
    </w:p>
    <w:p>
      <w:pPr>
        <w:pStyle w:val="TextBody"/>
        <w:bidi w:val="0"/>
        <w:spacing w:lineRule="atLeast" w:line="244" w:before="0" w:after="0"/>
        <w:jc w:val="left"/>
        <w:rPr>
          <w:rFonts w:ascii="Times New Roman;serif" w:hAnsi="Times New Roman;serif"/>
          <w:b/>
          <w:i w:val="false"/>
          <w:caps w:val="false"/>
          <w:smallCaps w:val="false"/>
          <w:sz w:val="36"/>
          <w:shd w:fill="E4E4E4" w:val="clear"/>
        </w:rPr>
      </w:pPr>
      <w:r>
        <w:rPr>
          <w:rFonts w:ascii="Times New Roman;serif" w:hAnsi="Times New Roman;serif"/>
          <w:b/>
          <w:i w:val="false"/>
          <w:caps w:val="false"/>
          <w:smallCaps w:val="false"/>
          <w:sz w:val="36"/>
          <w:shd w:fill="E4E4E4" w:val="clear"/>
        </w:rPr>
        <w:t>FORM 6-K</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___________________________</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REPORT OF FOREIGN PRIVATE ISSUER PURSUANT</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TO</w:t>
      </w:r>
      <w:r>
        <w:rPr>
          <w:rFonts w:ascii="Arial;sans-serif" w:hAnsi="Arial;sans-serif"/>
          <w:caps w:val="false"/>
          <w:smallCaps w:val="false"/>
          <w:shd w:fill="E4E4E4" w:val="clear"/>
        </w:rPr>
        <w:t xml:space="preserve"> </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SECTION</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13a-16</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OR</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15d-</w:t>
      </w:r>
      <w:r>
        <w:rPr>
          <w:rFonts w:ascii="Times New Roman;serif" w:hAnsi="Times New Roman;serif"/>
          <w:b/>
          <w:i w:val="false"/>
          <w:caps w:val="false"/>
          <w:smallCaps w:val="false"/>
          <w:sz w:val="24"/>
          <w:shd w:fill="E4E4E4" w:val="clear"/>
        </w:rPr>
        <w:t xml:space="preserve">16 </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UNDER THE SECURITIES EXCHANGE ACT OF 1934</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For the month of July 2026</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Commission</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File</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Number:</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4"/>
          <w:shd w:fill="E4E4E4" w:val="clear"/>
        </w:rPr>
        <w:t>001-41912</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___________________________</w:t>
      </w:r>
    </w:p>
    <w:p>
      <w:pPr>
        <w:pStyle w:val="TextBody"/>
        <w:bidi w:val="0"/>
        <w:spacing w:lineRule="atLeast" w:line="244" w:before="0" w:after="0"/>
        <w:jc w:val="left"/>
        <w:rPr>
          <w:rFonts w:ascii="Times New Roman;serif" w:hAnsi="Times New Roman;serif"/>
          <w:b/>
          <w:i w:val="false"/>
          <w:caps w:val="false"/>
          <w:smallCaps w:val="false"/>
          <w:sz w:val="36"/>
          <w:shd w:fill="E4E4E4" w:val="clear"/>
        </w:rPr>
      </w:pPr>
      <w:r>
        <w:rPr>
          <w:rFonts w:ascii="Times New Roman;serif" w:hAnsi="Times New Roman;serif"/>
          <w:b/>
          <w:i w:val="false"/>
          <w:caps w:val="false"/>
          <w:smallCaps w:val="false"/>
          <w:sz w:val="36"/>
          <w:shd w:fill="E4E4E4" w:val="clear"/>
        </w:rPr>
        <w:t>Ferrovial N.V.</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___________________________</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Gustav Mahlerplein 61-63</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Symphony Towers, 14</w:t>
      </w:r>
      <w:r>
        <w:rPr>
          <w:rFonts w:ascii="Times New Roman;serif" w:hAnsi="Times New Roman;serif"/>
          <w:b/>
          <w:i w:val="false"/>
          <w:caps w:val="false"/>
          <w:smallCaps w:val="false"/>
          <w:sz w:val="13"/>
          <w:shd w:fill="E4E4E4" w:val="clear"/>
        </w:rPr>
        <w:t>th</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Floor</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1082 MS Amsterdam</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The Netherlands</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Tel:</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+31 20798 37 02</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(Address</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of</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principal</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executive</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4"/>
          <w:shd w:fill="E4E4E4" w:val="clear"/>
        </w:rPr>
        <w:t>office)</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Indicate by check mark whether the registrant files or will file annual reports under cover of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Form 20-F or Form 40-F.</w:t>
      </w:r>
    </w:p>
    <w:p>
      <w:pPr>
        <w:pStyle w:val="TextBody"/>
        <w:bidi w:val="0"/>
        <w:spacing w:lineRule="atLeast" w:line="175" w:before="0" w:after="0"/>
        <w:jc w:val="left"/>
        <w:rPr>
          <w:rFonts w:ascii="Arial;sans-serif" w:hAnsi="Arial;sans-serif"/>
          <w:shd w:fill="E4E4E4" w:val="clear"/>
        </w:rPr>
      </w:pPr>
      <w:r>
        <w:rPr>
          <w:rFonts w:ascii="Times New Roman;serif" w:hAnsi="Times New Roman;serif"/>
          <w:b w:val="false"/>
          <w:i w:val="false"/>
          <w:caps w:val="false"/>
          <w:smallCaps w:val="false"/>
          <w:sz w:val="24"/>
          <w:shd w:fill="E4E4E4" w:val="clear"/>
        </w:rPr>
        <w:t xml:space="preserve">Form 20-F </w:t>
      </w:r>
      <w:r>
        <w:rPr>
          <w:rFonts w:ascii="Arial;sans-serif" w:hAnsi="Arial;sans-serif"/>
          <w:caps w:val="false"/>
          <w:smallCaps w:val="false"/>
          <w:shd w:fill="E4E4E4" w:val="clear"/>
        </w:rPr>
        <w:t xml:space="preserve">☒ </w:t>
      </w:r>
      <w:r>
        <w:rPr>
          <w:rFonts w:ascii="Times New Roman;serif" w:hAnsi="Times New Roman;serif"/>
          <w:b w:val="false"/>
          <w:i w:val="false"/>
          <w:caps w:val="false"/>
          <w:smallCaps w:val="false"/>
          <w:sz w:val="24"/>
          <w:shd w:fill="E4E4E4" w:val="clear"/>
        </w:rPr>
        <w:t xml:space="preserve">Form 40-F </w:t>
      </w:r>
      <w:r>
        <w:rPr>
          <w:rFonts w:ascii="Arial;sans-serif" w:hAnsi="Arial;sans-serif"/>
          <w:caps w:val="false"/>
          <w:smallCaps w:val="false"/>
          <w:shd w:fill="E4E4E4"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EXPLANATORY NOTE</w:t>
      </w:r>
      <w:r>
        <mc:AlternateContent>
          <mc:Choice Requires="wps">
            <w:drawing>
              <wp:anchor behindDoc="0" distT="0" distB="0" distL="0" distR="0" simplePos="0" locked="0" layoutInCell="1" allowOverlap="1" relativeHeight="2">
                <wp:simplePos x="0" y="0"/>
                <wp:positionH relativeFrom="page">
                  <wp:posOffset>914400</wp:posOffset>
                </wp:positionH>
                <wp:positionV relativeFrom="line">
                  <wp:posOffset>635</wp:posOffset>
                </wp:positionV>
                <wp:extent cx="1457325" cy="908685"/>
                <wp:effectExtent l="0" t="0" r="0" b="0"/>
                <wp:wrapNone/>
                <wp:docPr id="1" name="Frame1"/>
                <a:graphic xmlns:a="http://schemas.openxmlformats.org/drawingml/2006/main">
                  <a:graphicData uri="http://schemas.microsoft.com/office/word/2010/wordprocessingShape">
                    <wps:wsp>
                      <wps:cNvSpPr txBox="1"/>
                      <wps:spPr>
                        <a:xfrm>
                          <a:off x="0" y="0"/>
                          <a:ext cx="1457325" cy="908685"/>
                        </a:xfrm>
                        <a:prstGeom prst="rect"/>
                        <a:solidFill>
                          <a:srgbClr val="FFFFFF"/>
                        </a:solidFill>
                      </wps:spPr>
                      <wps:txbx>
                        <w:txbxContent>
                          <w:tbl>
                            <w:tblPr>
                              <w:tblW w:w="278" w:type="dxa"/>
                              <w:jc w:val="left"/>
                              <w:tblInd w:w="0" w:type="dxa"/>
                              <w:tblLayout w:type="fixed"/>
                              <w:tblCellMar>
                                <w:top w:w="28" w:type="dxa"/>
                                <w:left w:w="28" w:type="dxa"/>
                                <w:bottom w:w="28" w:type="dxa"/>
                                <w:right w:w="28" w:type="dxa"/>
                              </w:tblCellMar>
                            </w:tblPr>
                            <w:tblGrid>
                              <w:gridCol w:w="124"/>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14.75pt;height:71.55pt;mso-wrap-distance-left:0pt;mso-wrap-distance-right:0pt;mso-wrap-distance-top:0pt;mso-wrap-distance-bottom:0pt;margin-top:0pt;mso-position-vertical:top;mso-position-vertical-relative:text;margin-left:72pt;mso-position-horizontal-relative:page">
                <v:textbox>
                  <w:txbxContent>
                    <w:tbl>
                      <w:tblPr>
                        <w:tblW w:w="278" w:type="dxa"/>
                        <w:jc w:val="left"/>
                        <w:tblInd w:w="0" w:type="dxa"/>
                        <w:tblLayout w:type="fixed"/>
                        <w:tblCellMar>
                          <w:top w:w="28" w:type="dxa"/>
                          <w:left w:w="28" w:type="dxa"/>
                          <w:bottom w:w="28" w:type="dxa"/>
                          <w:right w:w="28" w:type="dxa"/>
                        </w:tblCellMar>
                      </w:tblPr>
                      <w:tblGrid>
                        <w:gridCol w:w="124"/>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Attached to this current report on Form 6-K is:</w:t>
      </w:r>
      <w:r>
        <mc:AlternateContent>
          <mc:Choice Requires="wps">
            <w:drawing>
              <wp:anchor behindDoc="0" distT="0" distB="0" distL="0" distR="0" simplePos="0" locked="0" layoutInCell="1" allowOverlap="1" relativeHeight="7">
                <wp:simplePos x="0" y="0"/>
                <wp:positionH relativeFrom="page">
                  <wp:posOffset>914400</wp:posOffset>
                </wp:positionH>
                <wp:positionV relativeFrom="line">
                  <wp:posOffset>635</wp:posOffset>
                </wp:positionV>
                <wp:extent cx="5941695" cy="146685"/>
                <wp:effectExtent l="0" t="0" r="0" b="0"/>
                <wp:wrapNone/>
                <wp:docPr id="2" name="Frame2"/>
                <a:graphic xmlns:a="http://schemas.openxmlformats.org/drawingml/2006/main">
                  <a:graphicData uri="http://schemas.microsoft.com/office/word/2010/wordprocessingShape">
                    <wps:wsp>
                      <wps:cNvSpPr txBox="1"/>
                      <wps:spPr>
                        <a:xfrm>
                          <a:off x="0" y="0"/>
                          <a:ext cx="594169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Ferrovial N.V. (the “Company”) is submitting this current report on Form 6-K to report the transactions carried out</w:t>
                            </w:r>
                          </w:p>
                        </w:txbxContent>
                      </wps:txbx>
                      <wps:bodyPr anchor="t" lIns="0" tIns="0" rIns="0" bIns="0">
                        <a:noAutofit/>
                      </wps:bodyPr>
                    </wps:wsp>
                  </a:graphicData>
                </a:graphic>
              </wp:anchor>
            </w:drawing>
          </mc:Choice>
          <mc:Fallback>
            <w:pict>
              <v:rect style="position:absolute;rotation:-0;width:467.85pt;height:11.5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Ferrovial N.V. (the “Company”) is submitting this current report on Form 6-K to report the transactions carried out</w:t>
                      </w:r>
                    </w:p>
                  </w:txbxContent>
                </v:textbox>
                <w10:wrap type="none"/>
              </v:rect>
            </w:pict>
          </mc:Fallback>
        </mc:AlternateContent>
      </w:r>
      <w:r>
        <mc:AlternateContent>
          <mc:Choice Requires="wps">
            <w:drawing>
              <wp:anchor behindDoc="0" distT="0" distB="0" distL="0" distR="0" simplePos="0" locked="0" layoutInCell="1" allowOverlap="1" relativeHeight="8">
                <wp:simplePos x="0" y="0"/>
                <wp:positionH relativeFrom="page">
                  <wp:posOffset>6856095</wp:posOffset>
                </wp:positionH>
                <wp:positionV relativeFrom="line">
                  <wp:posOffset>635</wp:posOffset>
                </wp:positionV>
                <wp:extent cx="31750" cy="175260"/>
                <wp:effectExtent l="0" t="0" r="0" b="0"/>
                <wp:wrapNone/>
                <wp:docPr id="3" name="Frame3"/>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39.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
                <wp:simplePos x="0" y="0"/>
                <wp:positionH relativeFrom="page">
                  <wp:posOffset>914400</wp:posOffset>
                </wp:positionH>
                <wp:positionV relativeFrom="line">
                  <wp:posOffset>635</wp:posOffset>
                </wp:positionV>
                <wp:extent cx="5943600" cy="146685"/>
                <wp:effectExtent l="0" t="0" r="0" b="0"/>
                <wp:wrapNone/>
                <wp:docPr id="4" name="Frame4"/>
                <a:graphic xmlns:a="http://schemas.openxmlformats.org/drawingml/2006/main">
                  <a:graphicData uri="http://schemas.microsoft.com/office/word/2010/wordprocessingShape">
                    <wps:wsp>
                      <wps:cNvSpPr txBox="1"/>
                      <wps:spPr>
                        <a:xfrm>
                          <a:off x="0" y="0"/>
                          <a:ext cx="594360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by the Company from June 29, 2026 to July 24, 2026 under the share repurchase program started on December 15,</w:t>
                            </w:r>
                          </w:p>
                        </w:txbxContent>
                      </wps:txbx>
                      <wps:bodyPr anchor="t" lIns="0" tIns="0" rIns="0" bIns="0">
                        <a:noAutofit/>
                      </wps:bodyPr>
                    </wps:wsp>
                  </a:graphicData>
                </a:graphic>
              </wp:anchor>
            </w:drawing>
          </mc:Choice>
          <mc:Fallback>
            <w:pict>
              <v:rect style="position:absolute;rotation:-0;width:468pt;height:11.5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by the Company from June 29, 2026 to July 24, 2026 under the share repurchase program started on December 15,</w:t>
                      </w:r>
                    </w:p>
                  </w:txbxContent>
                </v:textbox>
                <w10:wrap type="none"/>
              </v:rect>
            </w:pict>
          </mc:Fallback>
        </mc:AlternateContent>
      </w:r>
      <w:r>
        <mc:AlternateContent>
          <mc:Choice Requires="wps">
            <w:drawing>
              <wp:anchor behindDoc="0" distT="0" distB="0" distL="0" distR="0" simplePos="0" locked="0" layoutInCell="1" allowOverlap="1" relativeHeight="10">
                <wp:simplePos x="0" y="0"/>
                <wp:positionH relativeFrom="page">
                  <wp:posOffset>6858000</wp:posOffset>
                </wp:positionH>
                <wp:positionV relativeFrom="line">
                  <wp:posOffset>635</wp:posOffset>
                </wp:positionV>
                <wp:extent cx="31750" cy="175260"/>
                <wp:effectExtent l="0" t="0" r="0" b="0"/>
                <wp:wrapNone/>
                <wp:docPr id="5" name="Frame5"/>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1">
                <wp:simplePos x="0" y="0"/>
                <wp:positionH relativeFrom="page">
                  <wp:posOffset>914400</wp:posOffset>
                </wp:positionH>
                <wp:positionV relativeFrom="line">
                  <wp:posOffset>635</wp:posOffset>
                </wp:positionV>
                <wp:extent cx="285750" cy="146685"/>
                <wp:effectExtent l="0" t="0" r="0" b="0"/>
                <wp:wrapNone/>
                <wp:docPr id="6" name="Frame6"/>
                <a:graphic xmlns:a="http://schemas.openxmlformats.org/drawingml/2006/main">
                  <a:graphicData uri="http://schemas.microsoft.com/office/word/2010/wordprocessingShape">
                    <wps:wsp>
                      <wps:cNvSpPr txBox="1"/>
                      <wps:spPr>
                        <a:xfrm>
                          <a:off x="0" y="0"/>
                          <a:ext cx="28575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2025.</w:t>
                            </w:r>
                          </w:p>
                        </w:txbxContent>
                      </wps:txbx>
                      <wps:bodyPr anchor="t" lIns="0" tIns="0" rIns="0" bIns="0">
                        <a:noAutofit/>
                      </wps:bodyPr>
                    </wps:wsp>
                  </a:graphicData>
                </a:graphic>
              </wp:anchor>
            </w:drawing>
          </mc:Choice>
          <mc:Fallback>
            <w:pict>
              <v:rect style="position:absolute;rotation:-0;width:22.5pt;height:11.5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2025.</w:t>
                      </w:r>
                    </w:p>
                  </w:txbxContent>
                </v:textbox>
                <w10:wrap type="none"/>
              </v:rect>
            </w:pict>
          </mc:Fallback>
        </mc:AlternateContent>
      </w:r>
      <w:r>
        <mc:AlternateContent>
          <mc:Choice Requires="wps">
            <w:drawing>
              <wp:anchor behindDoc="0" distT="0" distB="0" distL="0" distR="0" simplePos="0" locked="0" layoutInCell="1" allowOverlap="1" relativeHeight="12">
                <wp:simplePos x="0" y="0"/>
                <wp:positionH relativeFrom="page">
                  <wp:posOffset>1200150</wp:posOffset>
                </wp:positionH>
                <wp:positionV relativeFrom="line">
                  <wp:posOffset>635</wp:posOffset>
                </wp:positionV>
                <wp:extent cx="31750" cy="175260"/>
                <wp:effectExtent l="0" t="0" r="0" b="0"/>
                <wp:wrapNone/>
                <wp:docPr id="7" name="Frame7"/>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94.5pt;mso-position-horizontal-relative:page">
                <v:textbox>
                  <w:txbxContent>
                    <w:p>
                      <w:pPr>
                        <w:pStyle w:val="TextBody"/>
                        <w:bidi w:val="0"/>
                        <w:spacing w:before="0" w:after="283"/>
                        <w:jc w:val="left"/>
                        <w:rPr/>
                      </w:pPr>
                      <w:r>
                        <w:rPr/>
                      </w:r>
                    </w:p>
                  </w:txbxContent>
                </v:textbox>
                <w10:wrap type="none"/>
              </v:rect>
            </w:pict>
          </mc:Fallback>
        </mc:AlternateConten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(1) a press release dated July 7, 2026 as Exhibit 99.1.</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(2) a press release dated July 14, 2026 as Exhibit 99.2.</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(3) a press release dated July 21, 2026 as Exhibit 99.3.</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(4) a press release dated July 28, 2026 as Exhibit 99.4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EXHIBIT INDEX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SIGNATURES</w:t>
      </w:r>
      <w:r>
        <mc:AlternateContent>
          <mc:Choice Requires="wps">
            <w:drawing>
              <wp:anchor behindDoc="0" distT="0" distB="0" distL="0" distR="0" simplePos="0" locked="0" layoutInCell="1" allowOverlap="1" relativeHeight="13">
                <wp:simplePos x="0" y="0"/>
                <wp:positionH relativeFrom="page">
                  <wp:posOffset>914400</wp:posOffset>
                </wp:positionH>
                <wp:positionV relativeFrom="line">
                  <wp:posOffset>635</wp:posOffset>
                </wp:positionV>
                <wp:extent cx="6543675" cy="1654810"/>
                <wp:effectExtent l="0" t="0" r="0" b="0"/>
                <wp:wrapNone/>
                <wp:docPr id="8" name="Frame8"/>
                <a:graphic xmlns:a="http://schemas.openxmlformats.org/drawingml/2006/main">
                  <a:graphicData uri="http://schemas.microsoft.com/office/word/2010/wordprocessingShape">
                    <wps:wsp>
                      <wps:cNvSpPr txBox="1"/>
                      <wps:spPr>
                        <a:xfrm>
                          <a:off x="0" y="0"/>
                          <a:ext cx="6543675" cy="1654810"/>
                        </a:xfrm>
                        <a:prstGeom prst="rect"/>
                        <a:solidFill>
                          <a:srgbClr val="FFFFFF"/>
                        </a:solidFill>
                      </wps:spPr>
                      <wps:txbx>
                        <w:txbxContent>
                          <w:tbl>
                            <w:tblPr>
                              <w:tblW w:w="10376" w:type="dxa"/>
                              <w:jc w:val="left"/>
                              <w:tblInd w:w="0" w:type="dxa"/>
                              <w:tblLayout w:type="fixed"/>
                              <w:tblCellMar>
                                <w:top w:w="28" w:type="dxa"/>
                                <w:left w:w="28" w:type="dxa"/>
                                <w:bottom w:w="28" w:type="dxa"/>
                                <w:right w:w="28" w:type="dxa"/>
                              </w:tblCellMar>
                            </w:tblPr>
                            <w:tblGrid>
                              <w:gridCol w:w="1091"/>
                              <w:gridCol w:w="109"/>
                              <w:gridCol w:w="9176"/>
                            </w:tblGrid>
                            <w:tr>
                              <w:trPr/>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r>
                              <w:trPr/>
                              <w:tc>
                                <w:tcPr>
                                  <w:tcW w:w="10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tcBorders>
                                    <w:top w:val="single" w:sz="8" w:space="0" w:color="000000"/>
                                  </w:tcBorders>
                                  <w:tcMar>
                                    <w:left w:w="0" w:type="dxa"/>
                                    <w:bottom w:w="0" w:type="dxa"/>
                                    <w:right w:w="0" w:type="dxa"/>
                                  </w:tcMar>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99.1</w:t>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99.2</w:t>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99.3</w:t>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99.4</w:t>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15.25pt;height:130.3pt;mso-wrap-distance-left:0pt;mso-wrap-distance-right:0pt;mso-wrap-distance-top:0pt;mso-wrap-distance-bottom:0pt;margin-top:0pt;mso-position-vertical:top;mso-position-vertical-relative:text;margin-left:72pt;mso-position-horizontal-relative:page">
                <v:textbox>
                  <w:txbxContent>
                    <w:tbl>
                      <w:tblPr>
                        <w:tblW w:w="10376" w:type="dxa"/>
                        <w:jc w:val="left"/>
                        <w:tblInd w:w="0" w:type="dxa"/>
                        <w:tblLayout w:type="fixed"/>
                        <w:tblCellMar>
                          <w:top w:w="28" w:type="dxa"/>
                          <w:left w:w="28" w:type="dxa"/>
                          <w:bottom w:w="28" w:type="dxa"/>
                          <w:right w:w="28" w:type="dxa"/>
                        </w:tblCellMar>
                      </w:tblPr>
                      <w:tblGrid>
                        <w:gridCol w:w="1091"/>
                        <w:gridCol w:w="109"/>
                        <w:gridCol w:w="9176"/>
                      </w:tblGrid>
                      <w:tr>
                        <w:trPr/>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r>
                        <w:trPr/>
                        <w:tc>
                          <w:tcPr>
                            <w:tcW w:w="10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tcBorders>
                              <w:top w:val="single" w:sz="8" w:space="0" w:color="000000"/>
                            </w:tcBorders>
                            <w:tcMar>
                              <w:left w:w="0" w:type="dxa"/>
                              <w:bottom w:w="0" w:type="dxa"/>
                              <w:right w:w="0" w:type="dxa"/>
                            </w:tcMar>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99.1</w:t>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99.2</w:t>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99.3</w:t>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99.4</w:t>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28650" cy="350520"/>
                <wp:effectExtent l="0" t="0" r="0" b="0"/>
                <wp:wrapNone/>
                <wp:docPr id="9" name="Frame9"/>
                <a:graphic xmlns:a="http://schemas.openxmlformats.org/drawingml/2006/main">
                  <a:graphicData uri="http://schemas.microsoft.com/office/word/2010/wordprocessingShape">
                    <wps:wsp>
                      <wps:cNvSpPr txBox="1"/>
                      <wps:spPr>
                        <a:xfrm>
                          <a:off x="0" y="0"/>
                          <a:ext cx="628650" cy="350520"/>
                        </a:xfrm>
                        <a:prstGeom prst="rect"/>
                        <a:solidFill>
                          <a:srgbClr val="FFFFFF"/>
                        </a:solidFill>
                      </wps:spPr>
                      <wps:txb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 xml:space="preserve">Exhibit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No.</w:t>
                            </w:r>
                          </w:p>
                        </w:txbxContent>
                      </wps:txbx>
                      <wps:bodyPr anchor="t" lIns="0" tIns="0" rIns="0" bIns="0">
                        <a:noAutofit/>
                      </wps:bodyPr>
                    </wps:wsp>
                  </a:graphicData>
                </a:graphic>
              </wp:anchor>
            </w:drawing>
          </mc:Choice>
          <mc:Fallback>
            <w:pict>
              <v:rect style="position:absolute;rotation:-0;width:4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 xml:space="preserve">Exhibit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No.</w:t>
                      </w:r>
                    </w:p>
                  </w:txbxContent>
                </v:textbox>
                <w10:wrap type="none"/>
              </v:rect>
            </w:pict>
          </mc:Fallback>
        </mc:AlternateContent>
      </w:r>
      <w:r>
        <mc:AlternateContent>
          <mc:Choice Requires="wps">
            <w:drawing>
              <wp:anchor behindDoc="0" distT="0" distB="0" distL="0" distR="0" simplePos="0" locked="0" layoutInCell="1" allowOverlap="1" relativeHeight="19">
                <wp:simplePos x="0" y="0"/>
                <wp:positionH relativeFrom="page">
                  <wp:posOffset>800100</wp:posOffset>
                </wp:positionH>
                <wp:positionV relativeFrom="line">
                  <wp:posOffset>635</wp:posOffset>
                </wp:positionV>
                <wp:extent cx="5743575" cy="175260"/>
                <wp:effectExtent l="0" t="0" r="0" b="0"/>
                <wp:wrapNone/>
                <wp:docPr id="10" name="Frame10"/>
                <a:graphic xmlns:a="http://schemas.openxmlformats.org/drawingml/2006/main">
                  <a:graphicData uri="http://schemas.microsoft.com/office/word/2010/wordprocessingShape">
                    <wps:wsp>
                      <wps:cNvSpPr txBox="1"/>
                      <wps:spPr>
                        <a:xfrm>
                          <a:off x="0" y="0"/>
                          <a:ext cx="5743575" cy="175260"/>
                        </a:xfrm>
                        <a:prstGeom prst="rect"/>
                        <a:solidFill>
                          <a:srgbClr val="FFFFFF"/>
                        </a:solidFill>
                      </wps:spPr>
                      <wps:txb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Description</w:t>
                            </w:r>
                          </w:p>
                        </w:txbxContent>
                      </wps:txbx>
                      <wps:bodyPr anchor="t" lIns="0" tIns="0" rIns="0" bIns="0">
                        <a:noAutofit/>
                      </wps:bodyPr>
                    </wps:wsp>
                  </a:graphicData>
                </a:graphic>
              </wp:anchor>
            </w:drawing>
          </mc:Choice>
          <mc:Fallback>
            <w:pict>
              <v:rect style="position:absolute;rotation:-0;width:452.25pt;height:13.8pt;mso-wrap-distance-left:0pt;mso-wrap-distance-right:0pt;mso-wrap-distance-top:0pt;mso-wrap-distance-bottom:0pt;margin-top:0pt;mso-position-vertical:top;mso-position-vertical-relative:text;margin-left:63pt;mso-position-horizontal-relative:page">
                <v:textbo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Description</w:t>
                      </w:r>
                    </w:p>
                  </w:txbxContent>
                </v:textbox>
                <w10:wrap type="none"/>
              </v:rect>
            </w:pict>
          </mc:Fallback>
        </mc:AlternateConten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Pursuant to the requirements of the Securities Exchange Act of 1934, as amended, the registrant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has duly caused this report to be signed on its behalf by the undersigned, thereunto duly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authorized.</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Ferrovial N.V.</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Date: July 29, 2026                                                                                      </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val="false"/>
          <w:i w:val="false"/>
          <w:caps w:val="false"/>
          <w:smallCaps w:val="false"/>
          <w:sz w:val="24"/>
          <w:shd w:fill="E4E4E4" w:val="clear"/>
        </w:rPr>
        <w:t xml:space="preserve">By: </w:t>
      </w:r>
      <w:r>
        <w:rPr>
          <w:rFonts w:ascii="Times New Roman;serif" w:hAnsi="Times New Roman;serif"/>
          <w:b w:val="false"/>
          <w:i w:val="false"/>
          <w:caps w:val="false"/>
          <w:smallCaps w:val="false"/>
          <w:sz w:val="24"/>
          <w:u w:val="single"/>
          <w:shd w:fill="E4E4E4" w:val="clear"/>
        </w:rPr>
        <w:t xml:space="preserve">/s/ Ernesto López Mozo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Ernesto López Mozo</w:t>
      </w:r>
    </w:p>
    <w:p>
      <w:pPr>
        <w:pStyle w:val="TextBody"/>
        <w:bidi w:val="0"/>
        <w:spacing w:lineRule="atLeast" w:line="166"/>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Chief Financial Officer</w:t>
      </w:r>
    </w:p>
    <w:p>
      <w:pPr>
        <w:pStyle w:val="TextBody"/>
        <w:bidi w:val="0"/>
        <w:spacing w:before="0" w:after="0"/>
        <w:jc w:val="center"/>
        <w:rPr/>
      </w:pPr>
      <w:bookmarkStart w:id="0" w:name="ferr_repurchaseprogram29.htm"/>
      <w:bookmarkStart w:id="1" w:name="ksferr_repurchaseprogram29"/>
      <w:bookmarkEnd w:id="0"/>
      <w:bookmarkEnd w:id="1"/>
      <w:r>
        <w:rPr/>
        <w:drawing>
          <wp:inline distT="0" distB="0" distL="0" distR="0">
            <wp:extent cx="9191625" cy="13001625"/>
            <wp:effectExtent l="0" t="0" r="0" b="0"/>
            <wp:docPr id="1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 descr=""/>
                    <pic:cNvPicPr>
                      <a:picLocks noChangeAspect="1" noChangeArrowheads="1"/>
                    </pic:cNvPicPr>
                  </pic:nvPicPr>
                  <pic:blipFill>
                    <a:blip r:embed="rId2"/>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1/1 FERROVIAL N.V. (“FERROVIAL” OR THE “COMPANY”) ANNOUNCES TRANSACTIONS UNDER THE SHARE REPURCHASE PROGRAM Amsterdam, 7 July 2026 Ferrovial (Ticker: “FER”) refers to the announcement disclosed to the market on 12 December 2025, regarding the implementation of a repurchase program for its own shares (the “Program”). The Company reports that, during the period from 29 June to 3 July 2026, it has carried out the following transactions under the Program. Detailed information on the individual shares purchase transactions carried out in the above- mentioned period can be found at www.ferrovial.com/en/ir-shareholders/financial- information/inside-information-and-other-relevant-information/ferrovial-se-share-buy-back- program-transactions/. Within the framework of the Program, since its beginning up to and including 3 July 2026, the Company has repurchased a total of 5,680,574 shares for a total amount of 330,500,109.35 euro. Note: The Bloomberg closing EUR-USD exchange rate has been applied to determine the EUR countervalue of USD transactions. About Ferrovial Ferrovial is a leading global infrastructure company transforming highways, airports, and energy around the world. Its distinctive integrated business model supports the entire lifecycle of complex projects, from design and financing to construction, operation and maintenance. The company has a global presence and employs more than 22,500 people worldwide. North America is Ferrovial’s growth engine, where it developed and is currently operating five Express Lanes across Texas, North Carolina and Virginia, and is managing the 407 ETR highway in Toronto, Canada. The company is also leading the development of the New Terminal One at JFK International Airport. Ferrovial shares trade under the ticker symbol FER on three stock markets: U.S. (Nasdaq-100 Index), Spain (IBEX-35), and the Netherlands. The company is included in globally recognized sustainability indices such as the Dow Jones Best-in-Class Index. Date Security Trading venue Number of shares purchased Weighted Average Price (€) 29/06/2026 FER US trading venues 10,000 59.87 30/06/2026 FER US trading venues 10,000 60.00 01/07/2026 FER US trading venues 10,000 59.12 02/07/2026 FER US trading venues 10,000 59.68 03/07/2026 FER XMAD 10,000 60.09 Total 50,000 59.75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ferr_repurchaseprogram06.htm"/>
      <w:bookmarkStart w:id="3" w:name="ksferr_repurchaseprogram06"/>
      <w:bookmarkEnd w:id="2"/>
      <w:bookmarkEnd w:id="3"/>
      <w:r>
        <w:rPr/>
        <w:drawing>
          <wp:inline distT="0" distB="0" distL="0" distR="0">
            <wp:extent cx="9191625" cy="13001625"/>
            <wp:effectExtent l="0" t="0" r="0" b="0"/>
            <wp:docPr id="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descr=""/>
                    <pic:cNvPicPr>
                      <a:picLocks noChangeAspect="1" noChangeArrowheads="1"/>
                    </pic:cNvPicPr>
                  </pic:nvPicPr>
                  <pic:blipFill>
                    <a:blip r:embed="rId3"/>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1/1 FERROVIAL N.V. (“FERROVIAL” OR THE “COMPANY”) ANNOUNCES TRANSACTIONS UNDER THE SHARE REPURCHASE PROGRAM Amsterdam, 14 July 2026 Ferrovial (Ticker: “FER”) refers to the announcement disclosed to the market on 12 December 2025, regarding the implementation of a repurchase program for its own shares (the “Program”). The Company reports that, during the period from 6 to 10 July 2026, it has carried out the following transactions under the Program. Detailed information on the individual shares purchase transactions carried out in the above- mentioned period can be found at www.ferrovial.com/en/ir-shareholders/financial- information/inside-information-and-other-relevant-information/ferrovial-se-share-buy-back- program-transactions/. Within the framework of the Program, since its beginning up to and including 10 July 2026, the Company has repurchased a total of 5,730,574 shares for a total amount of 333,371,267.82 euro. Note: The Bloomberg closing EUR-USD exchange rate has been applied to determine the EUR countervalue of USD transactions. About Ferrovial Ferrovial is a leading global infrastructure company transforming highways, airports, and energy around the world. Its distinctive integrated business model supports the entire lifecycle of complex projects, from design and financing to construction, operation and maintenance. The company has a global presence and employs more than 22,500 people worldwide. North America is Ferrovial’s growth engine, where it developed and is currently operating five Express Lanes across Texas, North Carolina and Virginia, and is managing the 407 ETR highway in Toronto, Canada. The company is also leading the development of the New Terminal One at JFK International Airport. Ferrovial shares trade under the ticker symbol FER on three stock markets: U.S. (Nasdaq-100 Index), Spain (IBEX-35), and the Netherlands. The company is included in globally recognized sustainability indices such as the Dow Jones Best-in-Class Index. Date Security Trading venue Number of shares purchased Weighted Average Price (€) 06/07/2026 FER US trading venues 10,000 59.32 07/07/2026 FER US trading venues 10,000 58.02 08/07/2026 FER US trading venues 10,000 56.52 09/07/2026 FER US trading venues 10,000 56.62 10/07/2026 FER US trading venues 10,000 56.63 Total 50,000 57.42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ferr_repurchaseprogram13.htm"/>
      <w:bookmarkStart w:id="5" w:name="ksferr_repurchaseprogram13"/>
      <w:bookmarkEnd w:id="4"/>
      <w:bookmarkEnd w:id="5"/>
      <w:r>
        <w:rPr/>
        <w:drawing>
          <wp:inline distT="0" distB="0" distL="0" distR="0">
            <wp:extent cx="9191625" cy="13001625"/>
            <wp:effectExtent l="0" t="0" r="0" b="0"/>
            <wp:docPr id="1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3" descr=""/>
                    <pic:cNvPicPr>
                      <a:picLocks noChangeAspect="1" noChangeArrowheads="1"/>
                    </pic:cNvPicPr>
                  </pic:nvPicPr>
                  <pic:blipFill>
                    <a:blip r:embed="rId4"/>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1/1 FERROVIAL N.V. (“FERROVIAL” OR THE “COMPANY”) ANNOUNCES TRANSACTIONS UNDER THE SHARE REPURCHASE PROGRAM Amsterdam, 21 July 2026 Ferrovial (Ticker: “FER”) refers to the announcement disclosed to the market on 12 December 2025, regarding the implementation of a repurchase program for its own shares (the “Program”). The Company reports that, during the period from 13 to 17 July 2026, it has carried out the following transactions under the Program. Detailed information on the individual shares purchase transactions carried out in the above- mentioned period can be found at www.ferrovial.com/en/ir-shareholders/financial- information/inside-information-and-other-relevant-information/ferrovial-se-share-buy-back- program-transactions/. Within the framework of the Program, since its beginning up to and including 17 July 2026, the Company has repurchased a total of 5,780,574 shares for a total amount of 336,164,220.66 euro. Note: The Bloomberg closing EUR-USD exchange rate has been applied to determine the EUR countervalue of USD transactions. About Ferrovial Ferrovial is a leading global infrastructure company transforming highways, airports, and energy around the world. Its distinctive integrated business model supports the entire lifecycle of complex projects, from design and financing to construction, operation and maintenance. The company has a global presence and employs more than 22,500 people worldwide. North America is Ferrovial’s growth engine, where it developed and is currently operating five Express Lanes across Texas, North Carolina and Virginia, and is managing the 407 ETR highway in Toronto, Canada. The company is also leading the development of the New Terminal One at JFK International Airport. Ferrovial shares trade under the ticker symbol FER on three stock markets: U.S. (Nasdaq-100 Index), Spain (IBEX-35), and the Netherlands. The company is included in globally recognized sustainability indices such as the Dow Jones Best-in-Class Index. Date Security Trading venue Number of shares purchased Weighted Average Price (€) 13/07/2026 FER US trading venues 10,000 56.01 14/07/2026 FER US trading venues 10,000 55.91 15/07/2026 FER US trading venues 10,000 55.95 16/07/2026 FER US trading venues 10,000 55.75 17/07/2026 FER US trading venues 10,000 55.67 Total 50,000 55.86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6" w:name="ferr_repurchaseprogram20.htm"/>
      <w:bookmarkStart w:id="7" w:name="ksferr_repurchaseprogram20"/>
      <w:bookmarkEnd w:id="6"/>
      <w:bookmarkEnd w:id="7"/>
      <w:r>
        <w:rPr/>
        <w:drawing>
          <wp:inline distT="0" distB="0" distL="0" distR="0">
            <wp:extent cx="9191625" cy="13001625"/>
            <wp:effectExtent l="0" t="0" r="0" b="0"/>
            <wp:docPr id="1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 descr=""/>
                    <pic:cNvPicPr>
                      <a:picLocks noChangeAspect="1" noChangeArrowheads="1"/>
                    </pic:cNvPicPr>
                  </pic:nvPicPr>
                  <pic:blipFill>
                    <a:blip r:embed="rId5"/>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1/1 FERROVIAL N.V. (“FERROVIAL” OR THE “COMPANY”) ANNOUNCES TRANSACTIONS UNDER THE SHARE REPURCHASE PROGRAM Amsterdam, 28 July 2026 Ferrovial (Ticker: “FER”) refers to the announcement disclosed to the market on 12 December 2025, regarding the implementation of a repurchase program for its own shares (the “Program”). The Company reports that, during the period from 20 to 24 July 2026, it has carried out the following transactions under the Program. Detailed information on the individual shares purchase transactions carried out in the above- mentioned period can be found at www.ferrovial.com/en/ir-shareholders/financial- information/inside-information-and-other-relevant-information/ferrovial-se-share-buy-back- program-transactions/. Within the framework of the Program, since its beginning up to and including 24 July 2026, the Company has repurchased a total of 5,830,574 shares for a total amount of 338,954,232.41 euro. Note: The Bloomberg closing EUR-USD exchange rate has been applied to determine the EUR countervalue of USD transactions. About Ferrovial Ferrovial is a leading global infrastructure company transforming highways, airports, and energy around the world. Its distinctive integrated business model supports the entire lifecycle of complex projects, from design and financing to construction, operation and maintenance. The company has a global presence and employs more than 22,500 people worldwide. North America is Ferrovial’s growth engine, where it developed and is currently operating five Express Lanes across Texas, North Carolina and Virginia, and is managing the 407 ETR highway in Toronto, Canada. The company is also leading the development of the New Terminal One at JFK International Airport. Ferrovial shares trade under the ticker symbol FER on three stock markets: U.S. (Nasdaq-100 Index), Spain (IBEX-35), and the Netherlands. The company is included in globally recognized sustainability indices such as the Dow Jones Best-in-Class Index. Date Security Trading venue Number of shares purchased Weighted Average Price (€) 20/07/2026 FER US trading venues 10,000 55.73 21/07/2026 FER US trading venues 10,000 55.79 22/07/2026 FER US trading venues 10,000 56.20 23/07/2026 FER US trading venues 10,000 55.58 24/07/2026 FER US trading venues 10,000 55.70 Total 50,000 55.80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1590</Words>
  <Characters>9472</Characters>
  <CharactersWithSpaces>11110</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ferr_repurchaseprogram20</dc:title>
</cp:coreProperties>
</file>